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829"/>
      </w:tblGrid>
      <w:tr w:rsidR="00C10A55" w:rsidRPr="00D57E48" w14:paraId="4E5CBB31" w14:textId="77777777" w:rsidTr="008B1D4A">
        <w:tc>
          <w:tcPr>
            <w:tcW w:w="9350" w:type="dxa"/>
            <w:gridSpan w:val="2"/>
          </w:tcPr>
          <w:p w14:paraId="24E6DBDE" w14:textId="77777777" w:rsidR="00C10A55" w:rsidRDefault="00571681" w:rsidP="00B45F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Ο ΠΕΡΙ ΤΗΣ </w:t>
            </w:r>
            <w:r w:rsidR="00B45FFF" w:rsidRPr="000C0C4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ΛΗΨΗΣ </w:t>
            </w:r>
            <w:r w:rsidR="00BC49DA" w:rsidRPr="000C0C4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ΕΚΤΑΚΤΩΝ </w:t>
            </w:r>
            <w:r w:rsidR="00B45FFF" w:rsidRPr="000C0C4D">
              <w:rPr>
                <w:rFonts w:ascii="Arial" w:hAnsi="Arial" w:cs="Arial"/>
                <w:b/>
                <w:sz w:val="24"/>
                <w:szCs w:val="24"/>
                <w:lang w:val="el-GR"/>
              </w:rPr>
              <w:t>ΜΕΤΡΩΝ ΑΠΟ ΧΡΗΜΑΤΟΟΙΚΟΝΟΜΙΚΟΥΣ ΟΡΓΑΝΙΣΜΟΥΣ ΚΑΙ ΕΠΟΠΤΙΚΕΣ ΑΡΧΕΣ ΝΟΜΟΣ ΤΟΥ 2020</w:t>
            </w:r>
          </w:p>
          <w:p w14:paraId="312AB489" w14:textId="47C3281E" w:rsidR="00CA08A8" w:rsidRPr="000C0C4D" w:rsidRDefault="00CA08A8" w:rsidP="00B45F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121D72" w:rsidRPr="00D57E48" w14:paraId="3D836B77" w14:textId="77777777" w:rsidTr="008B1D4A">
        <w:trPr>
          <w:trHeight w:val="1430"/>
        </w:trPr>
        <w:tc>
          <w:tcPr>
            <w:tcW w:w="1521" w:type="dxa"/>
            <w:vMerge w:val="restart"/>
          </w:tcPr>
          <w:p w14:paraId="56863552" w14:textId="7E307605" w:rsidR="00121D72" w:rsidRPr="000C0C4D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Προοίμιο</w:t>
            </w:r>
            <w:r w:rsidR="00E93A5C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29" w:type="dxa"/>
          </w:tcPr>
          <w:p w14:paraId="75B8618E" w14:textId="77777777" w:rsidR="00121D72" w:rsidRPr="000C0C4D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Επειδή η έξαρση</w:t>
            </w:r>
            <w:r w:rsidR="004E4C06" w:rsidRPr="004E4C0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πανδημίας του </w:t>
            </w:r>
            <w:r w:rsidR="004E4C06" w:rsidRPr="000C0C4D">
              <w:rPr>
                <w:rFonts w:ascii="Arial" w:hAnsi="Arial" w:cs="Arial"/>
                <w:sz w:val="24"/>
                <w:szCs w:val="24"/>
                <w:lang w:val="el-GR"/>
              </w:rPr>
              <w:t>ιού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COVID-19 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έχει </w:t>
            </w:r>
            <w:r w:rsidR="004E4C06" w:rsidRPr="000C0C4D">
              <w:rPr>
                <w:rFonts w:ascii="Arial" w:hAnsi="Arial" w:cs="Arial"/>
                <w:sz w:val="24"/>
                <w:szCs w:val="24"/>
                <w:lang w:val="el-GR"/>
              </w:rPr>
              <w:t>δημιουργήσει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κατάσταση έκτακτης ανάγκης στον τομέα της δημόσιας υγείας που πλήττει τους πολίτες και την κοινωνία  και προκαλεί σημαντικό κλυδωνισμό στην παγκόσμια και την εγχώρια οικονομία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</w:t>
            </w:r>
          </w:p>
        </w:tc>
      </w:tr>
      <w:tr w:rsidR="00121D72" w:rsidRPr="00D57E48" w14:paraId="7450F317" w14:textId="77777777" w:rsidTr="008B1D4A">
        <w:tc>
          <w:tcPr>
            <w:tcW w:w="1521" w:type="dxa"/>
            <w:vMerge/>
          </w:tcPr>
          <w:p w14:paraId="75BE76D7" w14:textId="77777777" w:rsidR="00121D72" w:rsidRPr="000C0C4D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26E2024E" w14:textId="77777777" w:rsidR="00121D72" w:rsidRPr="000C0C4D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Επειδή, τα διάφορα μέτρα ανάσχεσης 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εξάπλωσης του ιού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που έχουν ληφθεί από την Κυπριακή Δημοκρατία, σε πλήρη συνάφεια με τις οδηγίες του Παγκόσμιου Οργανισμού Υγείας, όπως τα μέτρα κοινωνικ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>ού περιορισμού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, οι περιορισμοί των μετακινήσεων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οι καραντίνες έχουν ως στόχο να 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>διασφαλίσουν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προστασία της δημοσίας υγείας και ότι ο κλυδωνισμός θα είναι όσο το δυνατόν πιο σύντομος και περιορισμένος και </w:t>
            </w:r>
          </w:p>
          <w:p w14:paraId="477F28E7" w14:textId="77777777" w:rsidR="00121D72" w:rsidRPr="000C0C4D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D72" w:rsidRPr="00D57E48" w14:paraId="57D1589F" w14:textId="77777777" w:rsidTr="008B1D4A">
        <w:tc>
          <w:tcPr>
            <w:tcW w:w="1521" w:type="dxa"/>
            <w:vMerge/>
          </w:tcPr>
          <w:p w14:paraId="608ABD01" w14:textId="77777777" w:rsidR="00121D72" w:rsidRPr="000C0C4D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4581AEBF" w14:textId="77777777" w:rsidR="00121D72" w:rsidRPr="000C0C4D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Επειδή, ταυτόχρονα, είναι απαραίτητη η λήψη μέτρων που να αντιμετωπίζουν και να περιορίζουν τον οικονομικό αντίκτυπο στην οικονομία και ιδιαίτερα τις επιπτώσεις </w:t>
            </w:r>
            <w:r w:rsidR="00E917BB" w:rsidRPr="000C0C4D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τις μικρές και μεσαίες επιχειρήσεις και στους πολίτες, και </w:t>
            </w:r>
          </w:p>
          <w:p w14:paraId="1B19B7FF" w14:textId="77777777" w:rsidR="00121D72" w:rsidRPr="000C0C4D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4B4669C" w14:textId="77777777" w:rsidR="00121D72" w:rsidRPr="000C0C4D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D72" w:rsidRPr="00D57E48" w14:paraId="315216FB" w14:textId="77777777" w:rsidTr="008B1D4A">
        <w:tc>
          <w:tcPr>
            <w:tcW w:w="1521" w:type="dxa"/>
            <w:vMerge/>
          </w:tcPr>
          <w:p w14:paraId="15419F76" w14:textId="77777777" w:rsidR="00121D72" w:rsidRPr="000C0C4D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118F213A" w14:textId="19D0A543" w:rsidR="00121D72" w:rsidRPr="000C0C4D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 η μη λήψη άμεσων και αποτελεσματικών μέτρων θα οδηγήσει τους πολίτες και τις επιχειρήσεις 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>που</w:t>
            </w:r>
            <w:r w:rsidR="004E4C06">
              <w:rPr>
                <w:rFonts w:ascii="Arial" w:hAnsi="Arial" w:cs="Arial"/>
                <w:sz w:val="24"/>
                <w:szCs w:val="24"/>
                <w:lang w:val="el-GR"/>
              </w:rPr>
              <w:t xml:space="preserve"> έχουν πληγεί από την έξαρση </w:t>
            </w:r>
            <w:r w:rsidR="00E93A5C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πανδημίας </w:t>
            </w:r>
            <w:r w:rsidR="004E4C06">
              <w:rPr>
                <w:rFonts w:ascii="Arial" w:hAnsi="Arial" w:cs="Arial"/>
                <w:sz w:val="24"/>
                <w:szCs w:val="24"/>
                <w:lang w:val="el-GR"/>
              </w:rPr>
              <w:t>του ιού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COVID-19 σε ακόμα δυσ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>χερέστερη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θέση με κίνδυνο να επηρεαστούν ακόμη περισσότερο και βραχυπρόθεσμα να πληγεί σε μη αναστρέψιμο βαθμό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η οικονομία</w:t>
            </w:r>
            <w:r w:rsidR="0051252C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με αλυσιδωτές επιπτώσεις οι οποίες θα επηρεάσουν την </w:t>
            </w:r>
            <w:r w:rsidR="004E4C06">
              <w:rPr>
                <w:rFonts w:ascii="Arial" w:hAnsi="Arial" w:cs="Arial"/>
                <w:sz w:val="24"/>
                <w:szCs w:val="24"/>
                <w:lang w:val="el-GR"/>
              </w:rPr>
              <w:t xml:space="preserve">μακροπρόθεσμη βιωσιμότητα του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χρηματοοικονομικ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>ού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συστήματος,</w:t>
            </w:r>
          </w:p>
          <w:p w14:paraId="3AFA59C1" w14:textId="77777777" w:rsidR="00121D72" w:rsidRPr="000C0C4D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D72" w:rsidRPr="00D57E48" w14:paraId="4667E558" w14:textId="77777777" w:rsidTr="008B1D4A">
        <w:tc>
          <w:tcPr>
            <w:tcW w:w="1521" w:type="dxa"/>
            <w:vMerge/>
          </w:tcPr>
          <w:p w14:paraId="35487B2B" w14:textId="77777777" w:rsidR="00121D72" w:rsidRPr="000C0C4D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38A9EE3F" w14:textId="6BD27A7A" w:rsidR="00121D72" w:rsidRPr="000C0C4D" w:rsidRDefault="00686DF3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Και επειδή</w:t>
            </w:r>
            <w:r w:rsidR="0051252C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>κρίνεται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21D72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αναγκαία η λήψη </w:t>
            </w:r>
            <w:r w:rsidR="00E96256">
              <w:rPr>
                <w:rFonts w:ascii="Arial" w:hAnsi="Arial" w:cs="Arial"/>
                <w:sz w:val="24"/>
                <w:szCs w:val="24"/>
                <w:lang w:val="el-GR"/>
              </w:rPr>
              <w:t>εκτάκτων</w:t>
            </w:r>
            <w:r w:rsidR="00121D72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μέτρων με σκοπό να στηριχθεί η οικονομία κατά τη διάρκεια της τρέχουσας έξαρσης της </w:t>
            </w:r>
            <w:r w:rsidR="00C431E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πανδημίας του </w:t>
            </w:r>
            <w:r w:rsidR="004E4C06" w:rsidRPr="000C0C4D">
              <w:rPr>
                <w:rFonts w:ascii="Arial" w:hAnsi="Arial" w:cs="Arial"/>
                <w:sz w:val="24"/>
                <w:szCs w:val="24"/>
                <w:lang w:val="el-GR"/>
              </w:rPr>
              <w:t>ιού</w:t>
            </w:r>
            <w:r w:rsidR="004E4C0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21D72" w:rsidRPr="000C0C4D">
              <w:rPr>
                <w:rFonts w:ascii="Arial" w:hAnsi="Arial" w:cs="Arial"/>
                <w:sz w:val="24"/>
                <w:szCs w:val="24"/>
                <w:lang w:val="el-GR"/>
              </w:rPr>
              <w:t>COVID-19,</w:t>
            </w:r>
          </w:p>
          <w:p w14:paraId="6A25C79E" w14:textId="77777777" w:rsidR="00121D72" w:rsidRPr="000C0C4D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D72" w:rsidRPr="00D57E48" w14:paraId="19040498" w14:textId="77777777" w:rsidTr="008B1D4A">
        <w:tc>
          <w:tcPr>
            <w:tcW w:w="1521" w:type="dxa"/>
            <w:vMerge/>
          </w:tcPr>
          <w:p w14:paraId="1AD63EDB" w14:textId="77777777" w:rsidR="00121D72" w:rsidRPr="000C0C4D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283621E4" w14:textId="77777777" w:rsidR="00121D72" w:rsidRPr="000C0C4D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  <w:p w14:paraId="3FBEE27F" w14:textId="77777777" w:rsidR="005E1EA3" w:rsidRPr="000C0C4D" w:rsidRDefault="005E1EA3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D57E48" w14:paraId="0D775B3D" w14:textId="77777777" w:rsidTr="008B1D4A">
        <w:tc>
          <w:tcPr>
            <w:tcW w:w="1521" w:type="dxa"/>
          </w:tcPr>
          <w:p w14:paraId="4A31089F" w14:textId="77777777" w:rsidR="00C10A55" w:rsidRPr="00474402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</w:t>
            </w:r>
            <w:r w:rsidR="004744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14:paraId="56248797" w14:textId="77777777" w:rsidR="00C10A55" w:rsidRPr="000C0C4D" w:rsidRDefault="00B45FFF" w:rsidP="00474402">
            <w:pPr>
              <w:pStyle w:val="ListParagraph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περί της Λήψης </w:t>
            </w:r>
            <w:r w:rsidR="00BC49DA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Εκτάκτων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Μέτρων </w:t>
            </w:r>
            <w:r w:rsidR="00083308" w:rsidRPr="000C0C4D">
              <w:rPr>
                <w:rFonts w:ascii="Arial" w:hAnsi="Arial" w:cs="Arial"/>
                <w:sz w:val="24"/>
                <w:szCs w:val="24"/>
                <w:lang w:val="el-GR"/>
              </w:rPr>
              <w:t>από Χρηματοοικονομικούς Οργανισμούς και Εποπτικές Αρχές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, Νόμος του 2020</w:t>
            </w:r>
          </w:p>
          <w:p w14:paraId="52727ECD" w14:textId="77777777" w:rsidR="00083308" w:rsidRPr="000C0C4D" w:rsidRDefault="00083308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D57E48" w14:paraId="21743E12" w14:textId="77777777" w:rsidTr="008B1D4A">
        <w:tc>
          <w:tcPr>
            <w:tcW w:w="1521" w:type="dxa"/>
          </w:tcPr>
          <w:p w14:paraId="36F3E1B1" w14:textId="77777777" w:rsidR="00C10A55" w:rsidRPr="00B020D3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Ερμηνεία</w:t>
            </w:r>
            <w:r w:rsidR="00474402" w:rsidRPr="00B020D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4526156C" w14:textId="77777777" w:rsidR="003A46EB" w:rsidRPr="000C0C4D" w:rsidRDefault="003A46EB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10AD12" w14:textId="77777777" w:rsidR="003A46EB" w:rsidRPr="000C0C4D" w:rsidRDefault="003A46EB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CC6766" w14:textId="77777777" w:rsidR="003A46EB" w:rsidRPr="000C0C4D" w:rsidRDefault="003A46EB" w:rsidP="003A46EB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A7A86B" w14:textId="77777777" w:rsidR="003A46EB" w:rsidRPr="006D6A37" w:rsidRDefault="006D6A37" w:rsidP="003A46EB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</w:t>
            </w:r>
            <w:r w:rsidR="003A46EB" w:rsidRPr="006D6A37">
              <w:rPr>
                <w:rFonts w:ascii="Arial" w:hAnsi="Arial" w:cs="Arial"/>
                <w:sz w:val="18"/>
                <w:szCs w:val="18"/>
                <w:lang w:val="el-GR"/>
              </w:rPr>
              <w:t>66(</w:t>
            </w:r>
            <w:r w:rsidR="003A46EB"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="00474402" w:rsidRPr="006D6A37">
              <w:rPr>
                <w:rFonts w:ascii="Arial" w:hAnsi="Arial" w:cs="Arial"/>
                <w:sz w:val="18"/>
                <w:szCs w:val="18"/>
                <w:lang w:val="el-GR"/>
              </w:rPr>
              <w:t>) του</w:t>
            </w:r>
            <w:r w:rsidR="00474402" w:rsidRPr="00B020D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3A46EB" w:rsidRPr="006D6A37">
              <w:rPr>
                <w:rFonts w:ascii="Arial" w:hAnsi="Arial" w:cs="Arial"/>
                <w:sz w:val="18"/>
                <w:szCs w:val="18"/>
                <w:lang w:val="el-GR"/>
              </w:rPr>
              <w:t>1997</w:t>
            </w:r>
          </w:p>
          <w:p w14:paraId="55F4EE15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74(Ι) του 1999</w:t>
            </w:r>
          </w:p>
          <w:p w14:paraId="305E73F8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94(Ι) του 2000</w:t>
            </w:r>
          </w:p>
          <w:p w14:paraId="3293D0DA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119(Ι) του 2003</w:t>
            </w:r>
          </w:p>
          <w:p w14:paraId="6BC01A47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 xml:space="preserve">   4(Ι) του 2004</w:t>
            </w:r>
          </w:p>
          <w:p w14:paraId="43BD02E3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151(Ι) του 2004</w:t>
            </w:r>
          </w:p>
          <w:p w14:paraId="4524AA49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231(Ι) του 2004</w:t>
            </w:r>
          </w:p>
          <w:p w14:paraId="2AA59AF9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235(Ι) του 2004</w:t>
            </w:r>
          </w:p>
          <w:p w14:paraId="2E36FDE0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 xml:space="preserve">  20(Ι) του 2005</w:t>
            </w:r>
          </w:p>
          <w:p w14:paraId="0EB655CA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80(Ι) του 2008</w:t>
            </w:r>
          </w:p>
          <w:p w14:paraId="0405F0F1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100(Ι) του 2009</w:t>
            </w:r>
          </w:p>
          <w:p w14:paraId="72F8F6C2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123(Ι) του 2009</w:t>
            </w:r>
          </w:p>
          <w:p w14:paraId="541F6CEE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27(Ι) του 2011</w:t>
            </w:r>
          </w:p>
          <w:p w14:paraId="54A2DB6C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104(Ι) του 2011</w:t>
            </w:r>
          </w:p>
          <w:p w14:paraId="06C8ACD5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107(Ι) του 2012</w:t>
            </w:r>
          </w:p>
          <w:p w14:paraId="5B9B1EC0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14(Ι) του 2013</w:t>
            </w:r>
          </w:p>
          <w:p w14:paraId="68F78E81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87(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) του 2013</w:t>
            </w:r>
          </w:p>
          <w:p w14:paraId="7C22D422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102(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) του 2013</w:t>
            </w:r>
          </w:p>
          <w:p w14:paraId="5F31246B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141(Ι) του 2013</w:t>
            </w:r>
          </w:p>
          <w:p w14:paraId="7B4F17AD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5(Ι) του 2015</w:t>
            </w:r>
          </w:p>
          <w:p w14:paraId="244C3CE3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26(Ι) του 2015</w:t>
            </w:r>
          </w:p>
          <w:p w14:paraId="1BC89FD1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 xml:space="preserve">  35(Ι) του 2015</w:t>
            </w:r>
          </w:p>
          <w:p w14:paraId="7AA7D61C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71(Ι) του 2015</w:t>
            </w:r>
          </w:p>
          <w:p w14:paraId="13CDF16D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93(Ι) του 2015</w:t>
            </w:r>
          </w:p>
          <w:p w14:paraId="5EB3A2CF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109(Ι) του 2015</w:t>
            </w:r>
          </w:p>
          <w:p w14:paraId="2C79D297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152(Ι) του 2015</w:t>
            </w:r>
          </w:p>
          <w:p w14:paraId="5890BA34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168(Ι) του 2015</w:t>
            </w:r>
          </w:p>
          <w:p w14:paraId="43444471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21(Ι) του 2016</w:t>
            </w:r>
          </w:p>
          <w:p w14:paraId="2D027DF1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5(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) του 2017</w:t>
            </w:r>
          </w:p>
          <w:p w14:paraId="53A646B0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38(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) του 2017</w:t>
            </w:r>
          </w:p>
          <w:p w14:paraId="2CF2BA5C" w14:textId="77777777" w:rsidR="003A46EB" w:rsidRPr="006D6A37" w:rsidRDefault="003A46EB" w:rsidP="003A46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169(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) του 2017</w:t>
            </w:r>
          </w:p>
          <w:p w14:paraId="76E42EE4" w14:textId="77777777" w:rsidR="003A46EB" w:rsidRPr="006D6A37" w:rsidRDefault="003A46EB" w:rsidP="003A46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28(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 xml:space="preserve">) του 2018 </w:t>
            </w:r>
          </w:p>
          <w:p w14:paraId="2AE7C802" w14:textId="77777777" w:rsidR="003A46EB" w:rsidRPr="006D6A37" w:rsidRDefault="003A46EB" w:rsidP="003A46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89(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) του 2018</w:t>
            </w:r>
          </w:p>
          <w:p w14:paraId="18F0ACDA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153(Ι) του 2018</w:t>
            </w:r>
          </w:p>
          <w:p w14:paraId="6423DC8B" w14:textId="77777777" w:rsidR="003A46EB" w:rsidRPr="006D6A37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149(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) του 2019</w:t>
            </w:r>
          </w:p>
          <w:p w14:paraId="4ED0A6EC" w14:textId="77777777" w:rsidR="003A46EB" w:rsidRPr="00B020D3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>21(Ι) του 2020</w:t>
            </w:r>
            <w:r w:rsidR="00474402" w:rsidRPr="00B020D3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14:paraId="35A09130" w14:textId="77777777" w:rsidR="006D6A37" w:rsidRDefault="006D6A37" w:rsidP="003A46E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</w:p>
          <w:p w14:paraId="6BEEB607" w14:textId="77777777" w:rsidR="006D6A37" w:rsidRDefault="006D6A37" w:rsidP="003A46E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</w:p>
          <w:p w14:paraId="3FCA1158" w14:textId="77777777" w:rsidR="006D6A37" w:rsidRDefault="006D6A37" w:rsidP="003A46E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</w:p>
          <w:p w14:paraId="46083EE6" w14:textId="77777777" w:rsidR="006D6A37" w:rsidRDefault="006D6A37" w:rsidP="00CA08A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</w:p>
          <w:p w14:paraId="4561E6E7" w14:textId="77777777" w:rsidR="003A46EB" w:rsidRPr="006D6A37" w:rsidRDefault="003A46EB" w:rsidP="00CA08A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 w:eastAsia="en-GB"/>
              </w:rPr>
              <w:t>Επίσημη</w:t>
            </w:r>
          </w:p>
          <w:p w14:paraId="57E41497" w14:textId="77777777" w:rsidR="003A46EB" w:rsidRPr="006D6A37" w:rsidRDefault="003A46EB" w:rsidP="00CA08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 w:eastAsia="en-GB"/>
              </w:rPr>
              <w:t>Εφημερίδα,</w:t>
            </w:r>
          </w:p>
          <w:p w14:paraId="63F6DB8A" w14:textId="77777777" w:rsidR="003A46EB" w:rsidRPr="006D6A37" w:rsidRDefault="003A46EB" w:rsidP="00CA08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 w:eastAsia="en-GB"/>
              </w:rPr>
              <w:t>Παράρτημα</w:t>
            </w:r>
          </w:p>
          <w:p w14:paraId="1051328C" w14:textId="77777777" w:rsidR="003A46EB" w:rsidRPr="006D6A37" w:rsidRDefault="003A46EB" w:rsidP="003A4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 w:eastAsia="en-GB"/>
              </w:rPr>
              <w:lastRenderedPageBreak/>
              <w:t>Πρώτο (Ι):</w:t>
            </w:r>
          </w:p>
          <w:p w14:paraId="160CF08A" w14:textId="77777777" w:rsidR="003A46EB" w:rsidRPr="006D6A37" w:rsidRDefault="003A46EB" w:rsidP="003A4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 w:eastAsia="en-GB"/>
              </w:rPr>
              <w:t>22.8.1997</w:t>
            </w:r>
          </w:p>
          <w:p w14:paraId="0974A325" w14:textId="77777777" w:rsidR="003A46EB" w:rsidRPr="006D6A37" w:rsidRDefault="006D6A37" w:rsidP="003A46EB">
            <w:pPr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l-GR" w:eastAsia="en-GB"/>
              </w:rPr>
              <w:t>19.9.2003</w:t>
            </w:r>
          </w:p>
          <w:p w14:paraId="5AA38115" w14:textId="5E27B7C6" w:rsidR="003A46EB" w:rsidRPr="006D6A37" w:rsidRDefault="003A46EB" w:rsidP="003A4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6D6A37">
              <w:rPr>
                <w:rFonts w:ascii="Arial" w:hAnsi="Arial" w:cs="Arial"/>
                <w:sz w:val="18"/>
                <w:szCs w:val="18"/>
                <w:lang w:val="el-GR" w:eastAsia="en-GB"/>
              </w:rPr>
              <w:t>10.6.2019</w:t>
            </w:r>
            <w:r w:rsidR="00E17E40">
              <w:rPr>
                <w:rFonts w:ascii="Arial" w:hAnsi="Arial" w:cs="Arial"/>
                <w:sz w:val="18"/>
                <w:szCs w:val="18"/>
                <w:lang w:val="el-GR" w:eastAsia="en-GB"/>
              </w:rPr>
              <w:t>.</w:t>
            </w:r>
          </w:p>
          <w:p w14:paraId="4D9BD6C6" w14:textId="77777777" w:rsidR="003A46EB" w:rsidRPr="000C0C4D" w:rsidRDefault="003A46EB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6E8B4318" w14:textId="77777777" w:rsidR="003A46EB" w:rsidRDefault="003A46EB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6F99CF66" w14:textId="77777777" w:rsidR="006D6A37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AB67A9B" w14:textId="77777777" w:rsidR="006D6A37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458A8492" w14:textId="77777777" w:rsidR="006D6A37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6E0C9D0B" w14:textId="77777777" w:rsidR="006D6A37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4F19E30" w14:textId="77777777" w:rsidR="006D6A37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44E868E" w14:textId="77777777" w:rsidR="006D6A37" w:rsidRPr="00B020D3" w:rsidRDefault="006D6A37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38(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 xml:space="preserve">του </w:t>
            </w: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2016</w:t>
            </w:r>
          </w:p>
          <w:p w14:paraId="038CDDD1" w14:textId="77777777" w:rsidR="006D6A37" w:rsidRPr="00B020D3" w:rsidRDefault="006D6A37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88(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 xml:space="preserve"> του </w:t>
            </w: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2017</w:t>
            </w:r>
          </w:p>
          <w:p w14:paraId="4E264183" w14:textId="77777777" w:rsidR="006D6A37" w:rsidRDefault="006D6A37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155(</w:t>
            </w:r>
            <w:r w:rsidRPr="006D6A37">
              <w:rPr>
                <w:rFonts w:ascii="Arial" w:hAnsi="Arial" w:cs="Arial"/>
                <w:sz w:val="18"/>
                <w:szCs w:val="18"/>
              </w:rPr>
              <w:t>I</w:t>
            </w: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  <w:r w:rsidRPr="006D6A37">
              <w:rPr>
                <w:rFonts w:ascii="Arial" w:hAnsi="Arial" w:cs="Arial"/>
                <w:sz w:val="18"/>
                <w:szCs w:val="18"/>
                <w:lang w:val="el-GR"/>
              </w:rPr>
              <w:t xml:space="preserve"> του </w:t>
            </w:r>
            <w:r w:rsidRPr="00B020D3">
              <w:rPr>
                <w:rFonts w:ascii="Arial" w:hAnsi="Arial" w:cs="Arial"/>
                <w:sz w:val="18"/>
                <w:szCs w:val="18"/>
                <w:lang w:val="el-GR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14:paraId="2CAC2D56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454018D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5CC58BD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B750E53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4B33A74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AD645BE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93E3614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2AD95FA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85F6333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E6D6B07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6AFBAAA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E9904C3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F58BA74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9F5D9AC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7AC53AF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9131CE3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D483922" w14:textId="77777777" w:rsidR="003528F5" w:rsidRDefault="007728C4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124(Ι) του 2018.</w:t>
            </w:r>
          </w:p>
          <w:p w14:paraId="06C4B32F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31ABFDB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43F0DB8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1FE51E4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4987006" w14:textId="77777777" w:rsidR="003528F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70E41A3" w14:textId="77777777" w:rsidR="003528F5" w:rsidRPr="006D6A37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87(Ι) του 2017.</w:t>
            </w:r>
          </w:p>
          <w:p w14:paraId="28F8F18B" w14:textId="77777777" w:rsidR="006D6A37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157277A" w14:textId="77777777" w:rsidR="007728C4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37926630" w14:textId="77777777" w:rsidR="007728C4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06670473" w14:textId="77777777" w:rsidR="007728C4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39226E6B" w14:textId="77777777" w:rsidR="007728C4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8F2D303" w14:textId="77777777" w:rsidR="007728C4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696199F" w14:textId="77777777" w:rsidR="007728C4" w:rsidRPr="007728C4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>78(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του </w:t>
            </w: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>2012</w:t>
            </w:r>
          </w:p>
          <w:p w14:paraId="1761A23C" w14:textId="77777777" w:rsidR="007728C4" w:rsidRPr="007728C4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>88(</w:t>
            </w:r>
            <w:r w:rsidRPr="007728C4">
              <w:rPr>
                <w:rFonts w:ascii="Arial" w:hAnsi="Arial" w:cs="Arial"/>
                <w:sz w:val="18"/>
                <w:szCs w:val="18"/>
              </w:rPr>
              <w:t>I</w:t>
            </w: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του</w:t>
            </w: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 xml:space="preserve"> 2015</w:t>
            </w:r>
          </w:p>
          <w:p w14:paraId="1799977D" w14:textId="77777777" w:rsidR="007728C4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>52(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του </w:t>
            </w:r>
            <w:r w:rsidRPr="007728C4">
              <w:rPr>
                <w:rFonts w:ascii="Arial" w:hAnsi="Arial" w:cs="Arial"/>
                <w:sz w:val="18"/>
                <w:szCs w:val="18"/>
                <w:lang w:val="el-GR"/>
              </w:rPr>
              <w:t>2016</w:t>
            </w:r>
          </w:p>
          <w:p w14:paraId="7A555905" w14:textId="77777777" w:rsidR="007728C4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134(Ι) του 2019.</w:t>
            </w:r>
          </w:p>
          <w:p w14:paraId="37450104" w14:textId="77777777" w:rsidR="0039664E" w:rsidRDefault="0039664E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079D241" w14:textId="09EFF053" w:rsidR="0039664E" w:rsidRPr="00CA08A8" w:rsidRDefault="0039664E" w:rsidP="00CA08A8">
            <w:pPr>
              <w:pStyle w:val="NoSpacing"/>
              <w:rPr>
                <w:sz w:val="18"/>
                <w:szCs w:val="18"/>
                <w:lang w:val="el-GR"/>
              </w:rPr>
            </w:pPr>
            <w:r w:rsidRPr="00CA08A8">
              <w:rPr>
                <w:sz w:val="18"/>
                <w:szCs w:val="18"/>
                <w:lang w:val="el-GR"/>
              </w:rPr>
              <w:t>169(</w:t>
            </w:r>
            <w:r w:rsidRPr="00CA08A8">
              <w:rPr>
                <w:sz w:val="18"/>
                <w:szCs w:val="18"/>
              </w:rPr>
              <w:t>I</w:t>
            </w:r>
            <w:r w:rsidRPr="00CA08A8">
              <w:rPr>
                <w:sz w:val="18"/>
                <w:szCs w:val="18"/>
                <w:lang w:val="el-GR"/>
              </w:rPr>
              <w:t>) του 2015</w:t>
            </w:r>
          </w:p>
          <w:p w14:paraId="54E3677C" w14:textId="1CE2EE22" w:rsidR="00CA08A8" w:rsidRPr="00E96256" w:rsidRDefault="00CA08A8" w:rsidP="00CA08A8">
            <w:pPr>
              <w:pStyle w:val="NoSpacing"/>
              <w:rPr>
                <w:lang w:val="el-GR"/>
              </w:rPr>
            </w:pPr>
            <w:r w:rsidRPr="00CA08A8">
              <w:rPr>
                <w:sz w:val="18"/>
                <w:szCs w:val="18"/>
                <w:lang w:val="el-GR"/>
              </w:rPr>
              <w:t>86(Ι) του 2018</w:t>
            </w:r>
            <w:r>
              <w:rPr>
                <w:lang w:val="el-GR"/>
              </w:rPr>
              <w:t>.</w:t>
            </w:r>
          </w:p>
          <w:p w14:paraId="7A952F00" w14:textId="77777777" w:rsidR="0039664E" w:rsidRDefault="0039664E" w:rsidP="007728C4">
            <w:pPr>
              <w:pStyle w:val="NoSpacing"/>
              <w:rPr>
                <w:rFonts w:ascii="Verdana" w:hAnsi="Verdana" w:cs="Times New Roman"/>
                <w:sz w:val="25"/>
                <w:szCs w:val="25"/>
                <w:lang w:val="el-GR"/>
              </w:rPr>
            </w:pPr>
          </w:p>
          <w:p w14:paraId="4838FF6C" w14:textId="77777777" w:rsidR="0039664E" w:rsidRDefault="0039664E" w:rsidP="007728C4">
            <w:pPr>
              <w:pStyle w:val="NoSpacing"/>
              <w:rPr>
                <w:rFonts w:ascii="Verdana" w:hAnsi="Verdana" w:cs="Times New Roman"/>
                <w:sz w:val="25"/>
                <w:szCs w:val="25"/>
                <w:lang w:val="el-GR"/>
              </w:rPr>
            </w:pPr>
          </w:p>
          <w:p w14:paraId="4DABA5C7" w14:textId="77777777" w:rsidR="0039664E" w:rsidRDefault="0039664E" w:rsidP="007728C4">
            <w:pPr>
              <w:pStyle w:val="NoSpacing"/>
              <w:rPr>
                <w:rFonts w:ascii="Verdana" w:hAnsi="Verdana" w:cs="Times New Roman"/>
                <w:sz w:val="25"/>
                <w:szCs w:val="25"/>
                <w:lang w:val="el-GR"/>
              </w:rPr>
            </w:pPr>
          </w:p>
          <w:p w14:paraId="4D03B170" w14:textId="68AFB243" w:rsidR="0039664E" w:rsidRDefault="0039664E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756991F" w14:textId="103CF981" w:rsidR="00CA08A8" w:rsidRDefault="00CA08A8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E3C8908" w14:textId="77777777" w:rsidR="00CA08A8" w:rsidRDefault="00CA08A8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1BAEFFA" w14:textId="77777777" w:rsidR="0039664E" w:rsidRPr="0039664E" w:rsidRDefault="0039664E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9664E">
              <w:rPr>
                <w:rFonts w:ascii="Arial" w:hAnsi="Arial" w:cs="Arial"/>
                <w:sz w:val="18"/>
                <w:szCs w:val="18"/>
                <w:lang w:val="el-GR"/>
              </w:rPr>
              <w:t>10(Ι) του 2020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14:paraId="1B951EF1" w14:textId="77777777" w:rsidR="007728C4" w:rsidRPr="000C0C4D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42D0C437" w14:textId="77777777" w:rsidR="003A46EB" w:rsidRDefault="003A46EB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044274" w14:textId="77777777" w:rsidR="0039664E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763920" w14:textId="77777777" w:rsidR="0039664E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67A6A6D" w14:textId="77777777" w:rsidR="0039664E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519D5B" w14:textId="77777777" w:rsidR="0039664E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30E8A04" w14:textId="77777777" w:rsidR="0039664E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D1B31E" w14:textId="34C210A8" w:rsidR="0039664E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405BBD3" w14:textId="3B03495F" w:rsidR="00E17E40" w:rsidRDefault="00E17E40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8229270" w14:textId="31588CC2" w:rsidR="00E17E40" w:rsidRDefault="00E17E40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D1CBF8D" w14:textId="42ED4C3B" w:rsidR="00E17E40" w:rsidRDefault="00E17E40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4923C44" w14:textId="77777777" w:rsidR="00E17E40" w:rsidRDefault="00E17E40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AD13C85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9664E">
              <w:rPr>
                <w:rFonts w:ascii="Arial" w:hAnsi="Arial" w:cs="Arial"/>
                <w:sz w:val="18"/>
                <w:szCs w:val="18"/>
                <w:lang w:val="el-GR"/>
              </w:rPr>
              <w:t>124(Ι) του 2018.</w:t>
            </w:r>
          </w:p>
          <w:p w14:paraId="480BA41D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1A3D8A9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5BB82FF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59D1B93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7379872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AE03744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6B4F8A7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7B40D6A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17360F7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25BCC2E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6B4E2A4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4679701" w14:textId="77777777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518CAA5" w14:textId="191EC576" w:rsidR="0039664E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C8A01A7" w14:textId="77777777" w:rsidR="00E17E40" w:rsidRDefault="00E17E40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47D85EE" w14:textId="77777777" w:rsidR="00CA08A8" w:rsidRDefault="00CA08A8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D30A2DE" w14:textId="77777777" w:rsidR="0039664E" w:rsidRPr="00D57E48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E48">
              <w:rPr>
                <w:rFonts w:ascii="Arial" w:hAnsi="Arial" w:cs="Arial"/>
                <w:sz w:val="18"/>
                <w:szCs w:val="18"/>
              </w:rPr>
              <w:t>31(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57E48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D57E48">
              <w:rPr>
                <w:rFonts w:ascii="Arial" w:hAnsi="Arial" w:cs="Arial"/>
                <w:sz w:val="18"/>
                <w:szCs w:val="18"/>
              </w:rPr>
              <w:t xml:space="preserve"> 2018.</w:t>
            </w:r>
          </w:p>
          <w:p w14:paraId="0DE4E6CF" w14:textId="77777777" w:rsidR="00CC64F4" w:rsidRPr="00D57E48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7439B" w14:textId="77777777" w:rsidR="00CC64F4" w:rsidRPr="00D57E48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951D2" w14:textId="77777777" w:rsidR="00CC64F4" w:rsidRPr="00D57E48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74CE31" w14:textId="77777777" w:rsidR="00CC64F4" w:rsidRPr="00D57E48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33836C" w14:textId="656E4FF0" w:rsidR="00CA08A8" w:rsidRDefault="00CA08A8" w:rsidP="00CA08A8">
            <w:pPr>
              <w:pStyle w:val="NoSpacing"/>
            </w:pPr>
          </w:p>
          <w:p w14:paraId="53FD9615" w14:textId="4273930C" w:rsidR="00E17E40" w:rsidRDefault="00E17E40" w:rsidP="00CA08A8">
            <w:pPr>
              <w:pStyle w:val="NoSpacing"/>
            </w:pPr>
          </w:p>
          <w:p w14:paraId="66DD1105" w14:textId="49E2C89A" w:rsidR="00E17E40" w:rsidRDefault="00E17E40" w:rsidP="00CA08A8">
            <w:pPr>
              <w:pStyle w:val="NoSpacing"/>
            </w:pPr>
          </w:p>
          <w:p w14:paraId="1C36A958" w14:textId="780B4FEF" w:rsidR="00E17E40" w:rsidRDefault="00E17E40" w:rsidP="00CA08A8">
            <w:pPr>
              <w:pStyle w:val="NoSpacing"/>
            </w:pPr>
          </w:p>
          <w:p w14:paraId="65068227" w14:textId="45BBF599" w:rsidR="00E17E40" w:rsidRDefault="00E17E40" w:rsidP="00CA08A8">
            <w:pPr>
              <w:pStyle w:val="NoSpacing"/>
            </w:pPr>
          </w:p>
          <w:p w14:paraId="56C9C9D8" w14:textId="16514674" w:rsidR="00E17E40" w:rsidRDefault="00E17E40" w:rsidP="00CA08A8">
            <w:pPr>
              <w:pStyle w:val="NoSpacing"/>
            </w:pPr>
          </w:p>
          <w:p w14:paraId="47088198" w14:textId="2C607990" w:rsidR="00E17E40" w:rsidRDefault="00E17E40" w:rsidP="00CA08A8">
            <w:pPr>
              <w:pStyle w:val="NoSpacing"/>
            </w:pPr>
          </w:p>
          <w:p w14:paraId="0C245EE2" w14:textId="6A58C836" w:rsidR="00E17E40" w:rsidRDefault="00E17E40" w:rsidP="00CA08A8">
            <w:pPr>
              <w:pStyle w:val="NoSpacing"/>
            </w:pPr>
          </w:p>
          <w:p w14:paraId="6B059DBA" w14:textId="5180C7CE" w:rsidR="00E17E40" w:rsidRDefault="00E17E40" w:rsidP="00CA08A8">
            <w:pPr>
              <w:pStyle w:val="NoSpacing"/>
            </w:pPr>
          </w:p>
          <w:p w14:paraId="547DFE94" w14:textId="009C5E51" w:rsidR="00E17E40" w:rsidRDefault="00E17E40" w:rsidP="00CA08A8">
            <w:pPr>
              <w:pStyle w:val="NoSpacing"/>
            </w:pPr>
          </w:p>
          <w:p w14:paraId="09DB0825" w14:textId="77777777" w:rsidR="00E17E40" w:rsidRDefault="00E17E40" w:rsidP="00CA08A8">
            <w:pPr>
              <w:pStyle w:val="NoSpacing"/>
            </w:pPr>
          </w:p>
          <w:p w14:paraId="229B53E2" w14:textId="0EAC1851" w:rsidR="00CC64F4" w:rsidRDefault="00CC64F4" w:rsidP="00CA08A8">
            <w:pPr>
              <w:pStyle w:val="NoSpacing"/>
              <w:rPr>
                <w:sz w:val="18"/>
                <w:szCs w:val="18"/>
              </w:rPr>
            </w:pPr>
            <w:r w:rsidRPr="00CA08A8">
              <w:rPr>
                <w:sz w:val="18"/>
                <w:szCs w:val="18"/>
              </w:rPr>
              <w:t>42/1980</w:t>
            </w:r>
          </w:p>
          <w:p w14:paraId="7B2D9A0E" w14:textId="1C12D854" w:rsidR="00CA08A8" w:rsidRPr="00D57E48" w:rsidRDefault="00CA08A8" w:rsidP="00CA08A8">
            <w:pPr>
              <w:pStyle w:val="NoSpacing"/>
              <w:rPr>
                <w:sz w:val="18"/>
                <w:szCs w:val="18"/>
              </w:rPr>
            </w:pPr>
            <w:r w:rsidRPr="00D57E48">
              <w:rPr>
                <w:sz w:val="18"/>
                <w:szCs w:val="18"/>
              </w:rPr>
              <w:t>48/1988</w:t>
            </w:r>
          </w:p>
          <w:p w14:paraId="1A01E057" w14:textId="4CAD6575" w:rsidR="00CA08A8" w:rsidRPr="00D57E48" w:rsidRDefault="00CA08A8" w:rsidP="00CA08A8">
            <w:pPr>
              <w:pStyle w:val="NoSpacing"/>
              <w:rPr>
                <w:sz w:val="18"/>
                <w:szCs w:val="18"/>
              </w:rPr>
            </w:pPr>
            <w:r w:rsidRPr="00D57E48">
              <w:rPr>
                <w:sz w:val="18"/>
                <w:szCs w:val="18"/>
              </w:rPr>
              <w:t>99/1988</w:t>
            </w:r>
          </w:p>
          <w:p w14:paraId="331A10F2" w14:textId="2CFC7823" w:rsidR="00E02A7B" w:rsidRDefault="00E02A7B" w:rsidP="00CA08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136(I)/2002</w:t>
            </w:r>
          </w:p>
          <w:p w14:paraId="6C999D38" w14:textId="41C5DF97" w:rsidR="00E02A7B" w:rsidRDefault="00E02A7B" w:rsidP="00CA08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137(I)/2003</w:t>
            </w:r>
          </w:p>
          <w:p w14:paraId="3C4D2D4C" w14:textId="41EC8C50" w:rsidR="00CA08A8" w:rsidRPr="00D57E48" w:rsidRDefault="00CA08A8" w:rsidP="00CA08A8">
            <w:pPr>
              <w:pStyle w:val="NoSpacing"/>
              <w:rPr>
                <w:sz w:val="18"/>
                <w:szCs w:val="18"/>
              </w:rPr>
            </w:pPr>
            <w:r w:rsidRPr="00D57E48">
              <w:rPr>
                <w:sz w:val="18"/>
                <w:szCs w:val="18"/>
              </w:rPr>
              <w:t>164(</w:t>
            </w:r>
            <w:r>
              <w:rPr>
                <w:sz w:val="18"/>
                <w:szCs w:val="18"/>
                <w:lang w:val="el-GR"/>
              </w:rPr>
              <w:t>Ι</w:t>
            </w:r>
            <w:r w:rsidRPr="00D57E48">
              <w:rPr>
                <w:sz w:val="18"/>
                <w:szCs w:val="18"/>
              </w:rPr>
              <w:t>)/2004</w:t>
            </w:r>
          </w:p>
          <w:p w14:paraId="2ACFBC6B" w14:textId="7AE672DF" w:rsidR="00CA08A8" w:rsidRPr="00D57E48" w:rsidRDefault="00CA08A8" w:rsidP="00CA08A8">
            <w:pPr>
              <w:pStyle w:val="NoSpacing"/>
              <w:rPr>
                <w:sz w:val="18"/>
                <w:szCs w:val="18"/>
              </w:rPr>
            </w:pPr>
            <w:r w:rsidRPr="00D57E48">
              <w:rPr>
                <w:sz w:val="18"/>
                <w:szCs w:val="18"/>
              </w:rPr>
              <w:t>30(</w:t>
            </w:r>
            <w:r>
              <w:rPr>
                <w:sz w:val="18"/>
                <w:szCs w:val="18"/>
                <w:lang w:val="el-GR"/>
              </w:rPr>
              <w:t>Ι</w:t>
            </w:r>
            <w:r w:rsidRPr="00D57E48">
              <w:rPr>
                <w:sz w:val="18"/>
                <w:szCs w:val="18"/>
              </w:rPr>
              <w:t>)/2005</w:t>
            </w:r>
          </w:p>
          <w:p w14:paraId="30A580B3" w14:textId="77777777" w:rsidR="00E02A7B" w:rsidRDefault="00E02A7B" w:rsidP="00E02A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134(I)/2005.</w:t>
            </w:r>
          </w:p>
          <w:p w14:paraId="412E08C1" w14:textId="58473063" w:rsidR="00CA418E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A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  <w:r w:rsidR="00CA418E" w:rsidRPr="00E02A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1(I)/2017</w:t>
            </w:r>
          </w:p>
          <w:p w14:paraId="3E182C3E" w14:textId="1F72E245" w:rsidR="00E02A7B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149(I)/2017</w:t>
            </w:r>
          </w:p>
          <w:p w14:paraId="155F431E" w14:textId="02AF1016" w:rsidR="00E02A7B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30(I)/2019.</w:t>
            </w:r>
          </w:p>
          <w:p w14:paraId="1108C2BC" w14:textId="18235642" w:rsidR="00E02A7B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EB0CFAF" w14:textId="001C3EC6" w:rsidR="00E02A7B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6A0EF5F" w14:textId="77777777" w:rsidR="00E02A7B" w:rsidRPr="00E02A7B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1474D7D" w14:textId="77777777" w:rsidR="00CA08A8" w:rsidRPr="00CA08A8" w:rsidRDefault="00CA08A8" w:rsidP="00CA418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A66A0D1" w14:textId="17C9F6B8" w:rsidR="00CA418E" w:rsidRPr="00E02A7B" w:rsidRDefault="00CA418E" w:rsidP="00E02A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E345128" w14:textId="77777777" w:rsidR="00CA418E" w:rsidRPr="00CA08A8" w:rsidRDefault="00CA418E" w:rsidP="00CA41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81A6691" w14:textId="77777777" w:rsidR="00CC64F4" w:rsidRPr="0039664E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829" w:type="dxa"/>
          </w:tcPr>
          <w:p w14:paraId="47DD85E4" w14:textId="77777777" w:rsidR="00C10A55" w:rsidRPr="000C0C4D" w:rsidRDefault="00C10A55" w:rsidP="00C10A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bCs/>
                <w:sz w:val="24"/>
                <w:szCs w:val="24"/>
                <w:lang w:val="el-GR"/>
              </w:rPr>
              <w:lastRenderedPageBreak/>
              <w:t>2.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Στον παρόντα Νόμο, εκτ</w:t>
            </w:r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>ός εάν από το κείμενο προκύπτει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διαφορετική έννοια -</w:t>
            </w:r>
          </w:p>
          <w:p w14:paraId="18666508" w14:textId="77777777" w:rsidR="008640D9" w:rsidRPr="000C0C4D" w:rsidRDefault="008640D9" w:rsidP="00C10A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B3E9848" w14:textId="77777777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bookmarkStart w:id="0" w:name="_Hlk35956429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αδειοδοτημένο</w:t>
            </w:r>
            <w:proofErr w:type="spellEnd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πιστωτικό ίδρυμα» ή «ΑΠΙ» έχει την έννοια που αποδίδεται στον όρο αυτό από το άρθρο 2 του περί Εργασιών Πιστωτικών Ιδρυμάτων Νόμου∙</w:t>
            </w:r>
          </w:p>
          <w:p w14:paraId="1B64DAB9" w14:textId="77777777" w:rsidR="00686DF3" w:rsidRPr="000C0C4D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727B983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A0482F3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A206C22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8E1359D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2D272AB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E85F186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38F6EA2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94053D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999941B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D3AA53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A3A0148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4FD370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76F56F1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5671AB7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78BD0A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F90B51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E33DE72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E981D8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72731C8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5AD983B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B5C95B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FA6B32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EF2D69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AE0397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8CC87A7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7CFCAA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F5EE49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C328E8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5052392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328955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CB4DEE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798B4F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E24C75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9C20F7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A94BF7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D43153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751AE2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8955939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8CA2C6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4D28D9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24D90A" w14:textId="77777777" w:rsidR="008640D9" w:rsidRPr="000C0C4D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A6FDB1" w14:textId="77777777" w:rsidR="00686DF3" w:rsidRPr="000C0C4D" w:rsidRDefault="00474402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686DF3" w:rsidRPr="000C0C4D">
              <w:rPr>
                <w:rFonts w:ascii="Arial" w:hAnsi="Arial" w:cs="Arial"/>
                <w:sz w:val="24"/>
                <w:szCs w:val="24"/>
                <w:lang w:val="el-GR"/>
              </w:rPr>
              <w:t>ανταλλακτήριο</w:t>
            </w:r>
            <w:r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0C0C4D">
              <w:rPr>
                <w:rFonts w:ascii="Arial" w:hAnsi="Arial" w:cs="Arial"/>
                <w:sz w:val="24"/>
                <w:szCs w:val="24"/>
                <w:lang w:val="el-GR"/>
              </w:rPr>
              <w:t>συναλλάγματος»</w:t>
            </w:r>
            <w:r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0C0C4D">
              <w:rPr>
                <w:rFonts w:ascii="Arial" w:hAnsi="Arial" w:cs="Arial"/>
                <w:sz w:val="24"/>
                <w:szCs w:val="24"/>
                <w:lang w:val="el-GR"/>
              </w:rPr>
              <w:t>έχει την έννοια που του αποδ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ίδεται </w:t>
            </w:r>
            <w:r w:rsidR="00686DF3" w:rsidRPr="000C0C4D">
              <w:rPr>
                <w:rFonts w:ascii="Arial" w:hAnsi="Arial" w:cs="Arial"/>
                <w:sz w:val="24"/>
                <w:szCs w:val="24"/>
                <w:lang w:val="el-GR"/>
              </w:rPr>
              <w:t>στον όρο</w:t>
            </w:r>
            <w:r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αυτό, </w:t>
            </w:r>
            <w:r w:rsidR="00686DF3" w:rsidRPr="000C0C4D">
              <w:rPr>
                <w:rFonts w:ascii="Arial" w:hAnsi="Arial" w:cs="Arial"/>
                <w:sz w:val="24"/>
                <w:szCs w:val="24"/>
                <w:lang w:val="el-GR"/>
              </w:rPr>
              <w:t>από την παράγραφο 3, του περί</w:t>
            </w:r>
            <w:r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0C0C4D">
              <w:rPr>
                <w:rFonts w:ascii="Arial" w:hAnsi="Arial" w:cs="Arial"/>
                <w:sz w:val="24"/>
                <w:szCs w:val="24"/>
                <w:lang w:val="el-GR"/>
              </w:rPr>
              <w:t>Ανταλλακτηρίων</w:t>
            </w:r>
            <w:r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0C0C4D">
              <w:rPr>
                <w:rFonts w:ascii="Arial" w:hAnsi="Arial" w:cs="Arial"/>
                <w:sz w:val="24"/>
                <w:szCs w:val="24"/>
                <w:lang w:val="el-GR"/>
              </w:rPr>
              <w:t>Συναλλάγματος</w:t>
            </w:r>
            <w:r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0C0C4D">
              <w:rPr>
                <w:rFonts w:ascii="Arial" w:hAnsi="Arial" w:cs="Arial"/>
                <w:sz w:val="24"/>
                <w:szCs w:val="24"/>
                <w:lang w:val="el-GR"/>
              </w:rPr>
              <w:t>Οδηγία της Κεντρικής Τράπεζας Κύπρου∙</w:t>
            </w:r>
          </w:p>
          <w:p w14:paraId="2E5F5DD2" w14:textId="77777777" w:rsidR="00686DF3" w:rsidRPr="000C0C4D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9F1822" w14:textId="77777777" w:rsidR="00686DF3" w:rsidRPr="000C0C4D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«αρμόδιες εποπτικές αρχές» σημαίνει:</w:t>
            </w:r>
          </w:p>
          <w:p w14:paraId="416D97D5" w14:textId="77777777" w:rsidR="00686DF3" w:rsidRPr="000C0C4D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466AB29" w14:textId="77777777" w:rsidR="00686DF3" w:rsidRPr="000C0C4D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(α) την Κεντρική Τράπεζα της Κύπρου,</w:t>
            </w:r>
          </w:p>
          <w:p w14:paraId="11C10323" w14:textId="77777777" w:rsidR="00686DF3" w:rsidRPr="000C0C4D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A214E1" w14:textId="77777777" w:rsidR="00686DF3" w:rsidRPr="000C0C4D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(β) την Επιτροπή 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Κεφαλαιογοράς</w:t>
            </w:r>
            <w:proofErr w:type="spellEnd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Κύπρου, </w:t>
            </w:r>
          </w:p>
          <w:p w14:paraId="4907DA4C" w14:textId="77777777" w:rsidR="00686DF3" w:rsidRPr="000C0C4D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4E784A" w14:textId="77777777" w:rsidR="00686DF3" w:rsidRPr="000C0C4D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(γ) τον Έφορο Ασφαλίσεων,</w:t>
            </w:r>
          </w:p>
          <w:p w14:paraId="56699130" w14:textId="77777777" w:rsidR="00686DF3" w:rsidRPr="000C0C4D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F3C444" w14:textId="77777777" w:rsidR="00686DF3" w:rsidRPr="000C0C4D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(δ) τον Έφορο Ιδρυμάτων Επαγγελματικών Συνταξιοδοτικών Παροχών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64BD38C5" w14:textId="77777777" w:rsidR="008B0F58" w:rsidRPr="000C0C4D" w:rsidRDefault="008B0F58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37D620" w14:textId="77777777" w:rsidR="008B0F58" w:rsidRPr="000C0C4D" w:rsidRDefault="008B0F58" w:rsidP="008B0F5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«ασφαλιστική επιχείρηση», έχει την έννοια που αποδίδεται στον όρο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άρθρο 2 του περί Ασφαλιστικών και 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Αντασφαλιστικών</w:t>
            </w:r>
            <w:proofErr w:type="spellEnd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Εργασιών και Άλλων Συναφών Θεμάτων Νόμο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υ∙</w:t>
            </w:r>
          </w:p>
          <w:p w14:paraId="5B1E6D6E" w14:textId="77777777" w:rsidR="00C10A55" w:rsidRPr="000C0C4D" w:rsidRDefault="00C10A55" w:rsidP="00C10A55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58ECB4" w14:textId="77777777" w:rsidR="00C10A55" w:rsidRPr="000C0C4D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«γραφείο</w:t>
            </w:r>
            <w:r w:rsidR="003528F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αντιπροσωπείας»</w:t>
            </w:r>
            <w:r w:rsidR="003528F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έχει την έννοια που αποδίδεται στον όρο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άρθρο 2 (1) του περί Εργασιών Πιστωτικών Ιδρυμάτων Νόμου∙</w:t>
            </w:r>
          </w:p>
          <w:p w14:paraId="237D83C5" w14:textId="77777777" w:rsidR="00686DF3" w:rsidRPr="000C0C4D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134CFE5" w14:textId="77777777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«Δημοκρατία» σημαίνει την Κυπριακή Δημοκρατία·</w:t>
            </w:r>
          </w:p>
          <w:p w14:paraId="021847EE" w14:textId="77777777" w:rsidR="00686DF3" w:rsidRPr="000C0C4D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88C30BA" w14:textId="77777777" w:rsidR="00686DF3" w:rsidRPr="000C0C4D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«διαμεσολαβητής», έχει την έννοια που αποδίδεται στον όρο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Ασφαλιστικών και 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Αντασφαλιστικών</w:t>
            </w:r>
            <w:proofErr w:type="spellEnd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Εργασιών και Άλλων Συναφών Θεμάτων Νόμο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3536436A" w14:textId="77777777" w:rsidR="00F071A5" w:rsidRPr="000C0C4D" w:rsidRDefault="00F071A5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C4FD04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«διαχειριστής οργανισμών εναλλακτικών επενδύσεων» ή «ΔΟΕΕ», έχει την έννοια που αποδίδεται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στον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περί των Οργανισμών Εναλλακτικών Επενδύσεων Νόμο∙</w:t>
            </w:r>
          </w:p>
          <w:p w14:paraId="092B758C" w14:textId="77777777" w:rsidR="00686DF3" w:rsidRPr="000C0C4D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3492F55" w14:textId="77777777" w:rsidR="00B93BCF" w:rsidRPr="000C0C4D" w:rsidRDefault="00B93BCF" w:rsidP="00B93BC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«διαχειριστής  αγοράς  της  Δημοκρατίας» έχει την έννοια που αποδίδεται</w:t>
            </w:r>
            <w:r w:rsidR="003528F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στον όρο αυτό, από τ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3528F5"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άρθρο 2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(1) του περί Επενδυτικών Υπηρεσιών και Δραστηριοτήτων και Ρυθμιζόμενων Αγορών Νόμο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09A9C7EB" w14:textId="77777777" w:rsidR="00B93BCF" w:rsidRPr="000C0C4D" w:rsidRDefault="00B93BCF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673566" w14:textId="77777777" w:rsidR="00686DF3" w:rsidRPr="000C0C4D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«Επιτροπή Κεφαλαιαγοράς Κύπρου», έχει την έννοια που αποδίδεται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στον όρο αυτό, στον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περί Επιτροπής Κεφαλαιαγοράς Κύπρου Νόμο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7F785847" w14:textId="77777777" w:rsidR="00F071A5" w:rsidRPr="000C0C4D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6DF8DE9" w14:textId="77777777" w:rsidR="00083308" w:rsidRPr="000C0C4D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«εταιρεία διαχείρισης ΟΣΕΚΑ» έχει την έννοια που αποδίδεται</w:t>
            </w:r>
            <w:r w:rsidR="003528F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στον όρο αυτό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3528F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περί των Ανοικτού Τύπου Οργανισμών Συλλογικών Επενδύσεων Νόμο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0953EFB3" w14:textId="77777777" w:rsidR="00F071A5" w:rsidRPr="000C0C4D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1F6783" w14:textId="77777777" w:rsidR="00C10A55" w:rsidRPr="000C0C4D" w:rsidRDefault="007728C4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083308" w:rsidRPr="000C0C4D">
              <w:rPr>
                <w:rFonts w:ascii="Arial" w:hAnsi="Arial" w:cs="Arial"/>
                <w:sz w:val="24"/>
                <w:szCs w:val="24"/>
                <w:lang w:val="el-GR"/>
              </w:rPr>
              <w:t>εταιρεία δια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χείρισης περιουσιακών στοιχείων»</w:t>
            </w:r>
            <w:r w:rsidR="00083308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έχει  την έννοια που αποδίδεται σ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τον όρο αυτό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083308" w:rsidRPr="000C0C4D">
              <w:rPr>
                <w:rFonts w:ascii="Arial" w:hAnsi="Arial" w:cs="Arial"/>
                <w:sz w:val="24"/>
                <w:szCs w:val="24"/>
                <w:lang w:val="el-GR"/>
              </w:rPr>
              <w:t>από το άρθρο 2 του περί Εργασιών Πιστωτικών Ιδρυμάτων Νόμου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73D30359" w14:textId="77777777" w:rsidR="00CB49AD" w:rsidRPr="000C0C4D" w:rsidRDefault="00CB49AD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13469CB" w14:textId="77777777" w:rsidR="00CB49AD" w:rsidRPr="000C0C4D" w:rsidRDefault="00CB49AD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«εταιρεία εξαγοράς πιστώσεων» έχει την έννοια που αποδίδεται 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39664E">
              <w:rPr>
                <w:rFonts w:ascii="Arial" w:hAnsi="Arial" w:cs="Arial"/>
                <w:sz w:val="24"/>
                <w:szCs w:val="24"/>
                <w:lang w:val="el-GR"/>
              </w:rPr>
              <w:t>τον όρο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από το άρθρο 2 του περί Αγοραπωλησίας Πιστωτικών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Διευκολύνσεων και για Συναφή Θέματα Νόμου</w:t>
            </w:r>
            <w:r w:rsidR="0090038F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52CB38FB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55E3C7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«εταιρείες παροχής διοικητικών υπηρεσιών» έχει την έννοια που αποδίδεται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τον όρο αυτό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στον περί της Ρύθμισης των Επιχειρήσεων Παροχής Διοικητικών Υπηρεσιών και Συναφών Θεμάτων Νόμο∙</w:t>
            </w:r>
          </w:p>
          <w:p w14:paraId="4F10327E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B6DE683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«Έφορος Ιδρυμάτων Επαγγελματικών Συνταξιοδοτικών Παροχών» έχει την έννοια που αποδίδεται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στον όρο αυτό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περί της Ίδρυσης, των Δραστηριοτήτων και της Εποπτείας των Ιδρυμάτων Επαγγελματικών Συνταξιοδοτικών Παροχών Νόμο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02310829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12B4D5" w14:textId="77777777" w:rsidR="00001FE8" w:rsidRPr="000C0C4D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«θεματοφύλακας ΟΣΕΚΑ», έχει την έννοια που αποδίδεται σ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τον όρο αυτό, στον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περί των Ανοικτού Τύπου Οργανισμών Συλλογικών Επενδύσεων Νόμο∙</w:t>
            </w:r>
          </w:p>
          <w:p w14:paraId="1EB0221B" w14:textId="77777777" w:rsidR="00001FE8" w:rsidRPr="000C0C4D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191E4D" w14:textId="77777777" w:rsidR="00001FE8" w:rsidRPr="000C0C4D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«θεματοφύλακας ΟΕΕ», έχει την έννοια που αποδίδεται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στον περί των Οργανισμών Εναλλακτικών Επενδύσεων Νόμο∙</w:t>
            </w:r>
          </w:p>
          <w:p w14:paraId="6CAC6E86" w14:textId="77777777" w:rsidR="00001FE8" w:rsidRPr="000C0C4D" w:rsidRDefault="00001FE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1902DE" w14:textId="4361B01A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«ίδρυμα επαγγελματικών συνταξιοδοτικών παροχών», ή «ΙΕΣΠ» έχει την έννοια που αποδίδεται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στο όρο αυτό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CA08A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περί της Ίδρυσης, των Δραστηριοτήτων και της Εποπτείας των Ιδρυμάτων Επαγγελματικών Συνταξιοδοτικών Παροχών Νόμο</w:t>
            </w:r>
            <w:r w:rsidR="005E1EA3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108FBF9D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B6B004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«ίδρυμα ηλεκτρονικού χρήματος», έχει την έννοια που αποδίδεται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από το άρθρο 2 του περί Ηλεκτρονικού Χρήματος Νόμου∙</w:t>
            </w:r>
          </w:p>
          <w:p w14:paraId="7C8B7C51" w14:textId="77777777" w:rsidR="00F071A5" w:rsidRPr="000C0C4D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2D1ACD" w14:textId="77777777" w:rsidR="008743B7" w:rsidRPr="0039664E" w:rsidRDefault="007349BA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«ίδρυμα πληρωμών» έχει την έννοια που του αποδίδει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από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το άρθρο</w:t>
            </w:r>
            <w:r w:rsidR="0039664E">
              <w:rPr>
                <w:rFonts w:ascii="Arial" w:hAnsi="Arial" w:cs="Arial"/>
                <w:sz w:val="24"/>
                <w:szCs w:val="24"/>
                <w:lang w:val="el-GR"/>
              </w:rPr>
              <w:t xml:space="preserve"> 2 του περί </w:t>
            </w:r>
            <w:r w:rsidR="0039664E" w:rsidRPr="0039664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της Παροχής και Χρήσης Υπηρεσιών Πληρωμών και Πρόσβα</w:t>
            </w:r>
            <w:r w:rsidR="0039664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σης στα Συστήματα Πληρωμών Νόμου</w:t>
            </w:r>
            <w:r w:rsidR="0090038F" w:rsidRPr="0039664E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7369E92F" w14:textId="1064D198" w:rsidR="00F071A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6C97F60" w14:textId="77777777" w:rsidR="00CA08A8" w:rsidRPr="000C0C4D" w:rsidRDefault="00CA08A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23B18D" w14:textId="7B284077" w:rsidR="00F071A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«Κεντρική Τράπεζα» σημαίνει την Κεντρική Τράπεζα της Κύπρου ως αρμόδια αρχή για τη διασφάλιση της σταθερότητας του χρηματοοικονομικού συστήματος·</w:t>
            </w:r>
          </w:p>
          <w:p w14:paraId="523E1715" w14:textId="77777777" w:rsidR="00CA08A8" w:rsidRPr="000C0C4D" w:rsidRDefault="00CA08A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15F4345" w14:textId="77777777" w:rsidR="00F071A5" w:rsidRPr="000C0C4D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A467C4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«Κυπριακή Επιχείρηση Παροχής Επενδυτικών Υπηρεσιών» ή «ΚΕΠΕΥ» έχει την έννοια που αποδίδεται στον όρο αυτό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άρθρο 2 του περί Επενδυτικών Υπηρεσιών και Δραστηριοτήτων και Ρυθμιζόμενων Αγορών Νόμου∙</w:t>
            </w:r>
          </w:p>
          <w:p w14:paraId="542D786F" w14:textId="0774AD20" w:rsidR="00B93BCF" w:rsidRDefault="00B93BCF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2249A4" w14:textId="186FE814" w:rsidR="00CA08A8" w:rsidRDefault="00CA08A8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8271665" w14:textId="2E92CCFA" w:rsidR="00CA08A8" w:rsidRDefault="00CA08A8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0CE53B5" w14:textId="77777777" w:rsidR="00CA08A8" w:rsidRPr="000C0C4D" w:rsidRDefault="00CA08A8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7216EF" w14:textId="39D2FA47" w:rsidR="00B93BCF" w:rsidRPr="000C0C4D" w:rsidRDefault="00B93BCF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“Κυπριακός Οργανισμός Αναπτύ</w:t>
            </w:r>
            <w:r w:rsidR="00D57E48">
              <w:rPr>
                <w:rFonts w:ascii="Arial" w:hAnsi="Arial" w:cs="Arial"/>
                <w:sz w:val="24"/>
                <w:szCs w:val="24"/>
                <w:lang w:val="el-GR"/>
              </w:rPr>
              <w:t xml:space="preserve">ξεως Γης” σημαίνει τον </w:t>
            </w:r>
            <w:proofErr w:type="spellStart"/>
            <w:r w:rsidR="00D57E48">
              <w:rPr>
                <w:rFonts w:ascii="Arial" w:hAnsi="Arial" w:cs="Arial"/>
                <w:sz w:val="24"/>
                <w:szCs w:val="24"/>
                <w:lang w:val="el-GR"/>
              </w:rPr>
              <w:t>Κυπριακόν</w:t>
            </w:r>
            <w:proofErr w:type="spellEnd"/>
            <w:r w:rsidR="00D57E4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Οργανισμόν</w:t>
            </w:r>
            <w:proofErr w:type="spellEnd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Αναπτύξεως Γης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τον 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συνιστώμενον</w:t>
            </w:r>
            <w:proofErr w:type="spellEnd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δυνάμει του άρθρου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4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του  περί Κυπριακού Οργανισμού Αναπτύξεως Γης Νόμου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06E6BC26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CCB1E1" w14:textId="77777777" w:rsidR="00001FE8" w:rsidRPr="000C0C4D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«Μέτρα Αναστολής» σημαίνει τα μέτρα που προβλέπονται στο άρθρο 4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33D0E7CB" w14:textId="77777777" w:rsidR="00001FE8" w:rsidRPr="000C0C4D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0593587" w14:textId="77777777" w:rsidR="00001FE8" w:rsidRPr="000C0C4D" w:rsidRDefault="00001FE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«Μη Πιστωτικά Ιδρύματα και Μεσίτες Πιστώσεων για Σύναψη Συμβάσεων Πίστωσης για  Καταναλωτές σε σχέση με Ακίνητα που προορίζονται για Κατοικία» έχει την έννοια που αποδίδεται στους όρους αυτούς από το άρθρο 2 του περί Συμβάσεων Πίστωσης για Καταναλωτές σε σχέση με Ακίνητα που προορίζονται για Κατοικία Νόμο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υ∙</w:t>
            </w:r>
          </w:p>
          <w:p w14:paraId="296773A1" w14:textId="77777777" w:rsidR="00001FE8" w:rsidRPr="000C0C4D" w:rsidRDefault="00001FE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CBBD6F" w14:textId="77777777" w:rsidR="00F071A5" w:rsidRPr="000C0C4D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«οργανισμός εναλλακτικών επενδύσεων» ή «ΟΕΕ»  έχει την έννοια που αποδίδεται 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στον περί των Οργανισμών Εναλλακτικών Επενδύσεων Νόμο∙</w:t>
            </w:r>
          </w:p>
          <w:p w14:paraId="232F0BEA" w14:textId="77777777" w:rsidR="00B93BCF" w:rsidRPr="000C0C4D" w:rsidRDefault="00B93BCF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E8D983" w14:textId="77777777" w:rsidR="00855D30" w:rsidRPr="000C0C4D" w:rsidRDefault="00A6566B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90038F" w:rsidRPr="000C0C4D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ργανισμός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0038F" w:rsidRPr="000C0C4D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υλλογικών </w:t>
            </w:r>
            <w:r w:rsidR="0090038F" w:rsidRPr="000C0C4D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πενδύσεων σε </w:t>
            </w:r>
            <w:r w:rsidR="0090038F" w:rsidRPr="000C0C4D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ινητές </w:t>
            </w:r>
            <w:r w:rsidR="0090038F" w:rsidRPr="000C0C4D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ξίες» ή «</w:t>
            </w:r>
            <w:r w:rsidRPr="000C0C4D">
              <w:rPr>
                <w:rStyle w:val="highlight"/>
                <w:rFonts w:ascii="Arial" w:hAnsi="Arial" w:cs="Arial"/>
                <w:sz w:val="24"/>
                <w:szCs w:val="24"/>
                <w:lang w:val="el-GR"/>
              </w:rPr>
              <w:t>ΟΣΕΚΑ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» έχει την έννοια που αποδίδεται</w:t>
            </w:r>
            <w:r w:rsidR="00474402" w:rsidRP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τον όρο αυτό, στ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ον περί των Ανοικτού Τύπου Οργανισμών Συλλογικών Επενδύσεων Νόμο</w:t>
            </w:r>
            <w:r w:rsidR="0090038F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25ED6333" w14:textId="77777777" w:rsidR="00474402" w:rsidRPr="00B020D3" w:rsidRDefault="0047440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F036D34" w14:textId="77777777" w:rsidR="00CB49AD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«Υπουργός» σημαίνει τον Υπουργό των Οικονομικών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618116EA" w14:textId="77777777" w:rsidR="00CB49AD" w:rsidRPr="000C0C4D" w:rsidRDefault="00CB49AD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590399" w14:textId="77777777" w:rsidR="00B93BCF" w:rsidRPr="000C0C4D" w:rsidRDefault="00B93BCF" w:rsidP="00B93BC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«χρηματοδοτικό ίδρυμα», έχει την έννοια που αποδίδεται στον όρο αυτό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άρθρο 2 του περί Αγοραπωλησίας Πιστωτικών Διευκολύνσεων και για Συναφή Θέματα Νόμου</w:t>
            </w:r>
            <w:bookmarkStart w:id="1" w:name="_Hlk35957297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  <w:bookmarkEnd w:id="0"/>
            <w:bookmarkEnd w:id="1"/>
          </w:p>
          <w:p w14:paraId="61EBD055" w14:textId="77777777" w:rsidR="00B93BCF" w:rsidRPr="000C0C4D" w:rsidRDefault="00B93BCF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A43F39" w14:textId="20148407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E83A3B" w:rsidRPr="000C0C4D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ρηματοοικονομικός </w:t>
            </w:r>
            <w:r w:rsidR="00E83A3B" w:rsidRPr="000C0C4D">
              <w:rPr>
                <w:rFonts w:ascii="Arial" w:hAnsi="Arial" w:cs="Arial"/>
                <w:sz w:val="24"/>
                <w:szCs w:val="24"/>
                <w:lang w:val="el-GR"/>
              </w:rPr>
              <w:t>Οργανισμός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» σημαίνει οποιοδήποτε από τους ακόλουθους οργανισμούς που έχει συσταθεί στη Δημοκρατία και </w:t>
            </w:r>
            <w:r w:rsidR="00E83A3B" w:rsidRPr="000C0C4D">
              <w:rPr>
                <w:rFonts w:ascii="Arial" w:hAnsi="Arial" w:cs="Arial"/>
                <w:sz w:val="24"/>
                <w:szCs w:val="24"/>
                <w:lang w:val="el-GR"/>
              </w:rPr>
              <w:t>κατέχει</w:t>
            </w:r>
            <w:r w:rsidR="00E17E4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άδεια λειτουργίας από  αρμόδια αρχή στη Δημοκρατία</w:t>
            </w:r>
            <w:r w:rsidR="00BF4A7F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6B6B84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καθώς</w:t>
            </w:r>
            <w:r w:rsidR="00E17E4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B6B84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οποιοδήποτε άλλο οργανισμό που έχει συσταθεί στη Δημοκρατία και </w:t>
            </w:r>
            <w:r w:rsidR="00E17E40">
              <w:rPr>
                <w:rFonts w:ascii="Arial" w:hAnsi="Arial" w:cs="Arial"/>
                <w:sz w:val="24"/>
                <w:szCs w:val="24"/>
                <w:lang w:val="el-GR"/>
              </w:rPr>
              <w:t>κατέχει</w:t>
            </w:r>
            <w:r w:rsidR="006B6B84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άδεια λειτουργίας από  αρμόδια αρχή στη Δημοκρατία και ο οποίος υπόκειται σε εποπτεία από τις αρμόδιες εποπτικές αρχές, δυνάμει της κείμενης νομοθεσίας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6E1A2839" w14:textId="77777777" w:rsidR="00DD79D8" w:rsidRPr="000C0C4D" w:rsidRDefault="00DD79D8" w:rsidP="00571681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860D96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α) 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αδειοδοτημένο</w:t>
            </w:r>
            <w:proofErr w:type="spellEnd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πιστωτικό ίδρυμα (ΑΠΙ),</w:t>
            </w:r>
          </w:p>
          <w:p w14:paraId="3DC42F80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5F0CA8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β) ανταλλακτήριο συναλλάγματος, </w:t>
            </w:r>
          </w:p>
          <w:p w14:paraId="1B7543A1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B02C9C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γ) ασφαλιστική επιχείρηση,</w:t>
            </w:r>
          </w:p>
          <w:p w14:paraId="0DAC548F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734BD67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δ) γραφείο αντιπροσωπείας,</w:t>
            </w:r>
          </w:p>
          <w:p w14:paraId="2D52EEE3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A34577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ε) διαμεσολαβητής,</w:t>
            </w:r>
          </w:p>
          <w:p w14:paraId="4FACDF9D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0B6DC4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στ) διαχειριστής οργανισμών εναλλακτικών επενδύσεων, </w:t>
            </w:r>
          </w:p>
          <w:p w14:paraId="6F7EC8F9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DF0F150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ζ) διαχειριστής  αγοράς  της  Δημοκρατίας,</w:t>
            </w:r>
          </w:p>
          <w:p w14:paraId="4F6689D1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BC1E53A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η) εταιρεία διαχείρισης ΟΣΕΚΑ,</w:t>
            </w:r>
          </w:p>
          <w:p w14:paraId="4883B4CA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FBB9799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θ) εταιρεία διαχείρισης περιουσιακών στοιχείων, </w:t>
            </w:r>
          </w:p>
          <w:p w14:paraId="5AB3D033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472C0A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ι) εταιρεία εξαγοράς πιστώσεων,</w:t>
            </w:r>
          </w:p>
          <w:p w14:paraId="28714A9C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D480762" w14:textId="3CA8D01B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ια)</w:t>
            </w:r>
            <w:r w:rsidR="00D57E4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εταιρείες παροχής διοικητικών υπηρεσιών,</w:t>
            </w:r>
          </w:p>
          <w:p w14:paraId="6F5003BB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BAC018F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ιβ) θεματοφύλακας ΟΣΕΚΑ, </w:t>
            </w:r>
          </w:p>
          <w:p w14:paraId="40C4C90E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861EC89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ιγ) θεματοφύλακας ΟΕΕ,</w:t>
            </w:r>
          </w:p>
          <w:p w14:paraId="3FBC246D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FCE4F94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ιδ) ίδρυμα επαγγελματικών συνταξιοδοτικών παροχών, </w:t>
            </w:r>
          </w:p>
          <w:p w14:paraId="18CF9C69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B03219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ιε) ίδρυμα ηλεκτρονικού χρήματος, </w:t>
            </w:r>
          </w:p>
          <w:p w14:paraId="557ECDA3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A3B70F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ιστ) ίδρυμα πληρωμών,</w:t>
            </w:r>
          </w:p>
          <w:p w14:paraId="2FB2BA47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A10B22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ιζ) Κυπριακή Επιχείρηση Παροχής Επενδυτικών Υπηρεσιών, </w:t>
            </w:r>
          </w:p>
          <w:p w14:paraId="1B351349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319BC7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ιη) Κυπριακός Οργανισμός Αναπτύξεως Γης, </w:t>
            </w:r>
          </w:p>
          <w:p w14:paraId="30320D57" w14:textId="77777777" w:rsidR="00DD79D8" w:rsidRPr="000C0C4D" w:rsidRDefault="00DD79D8" w:rsidP="008640D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36999A" w14:textId="77777777" w:rsidR="00DD79D8" w:rsidRPr="000C0C4D" w:rsidRDefault="008640D9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ιθ</w:t>
            </w:r>
            <w:r w:rsidR="00DD79D8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) Μη Πιστωτικά Ιδρύματα και Μεσίτες Πιστώσεων για Σύναψη Συμβάσεων Πίστωσης για  Καταναλωτές σε σχέση με Ακίνητα που προορίζονται για Κατοικία, </w:t>
            </w:r>
          </w:p>
          <w:p w14:paraId="48AF5800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CFD48A" w14:textId="77777777" w:rsidR="00DD79D8" w:rsidRPr="000C0C4D" w:rsidRDefault="008640D9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DD79D8" w:rsidRPr="000C0C4D">
              <w:rPr>
                <w:rFonts w:ascii="Arial" w:hAnsi="Arial" w:cs="Arial"/>
                <w:sz w:val="24"/>
                <w:szCs w:val="24"/>
                <w:lang w:val="el-GR"/>
              </w:rPr>
              <w:t>) οργανισμός εναλλακτικών επενδύσεων,</w:t>
            </w:r>
          </w:p>
          <w:p w14:paraId="05197220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C3BEDBF" w14:textId="77777777" w:rsidR="00DD79D8" w:rsidRPr="000C0C4D" w:rsidRDefault="008640D9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κα</w:t>
            </w:r>
            <w:r w:rsidR="00DD79D8" w:rsidRPr="000C0C4D">
              <w:rPr>
                <w:rFonts w:ascii="Arial" w:hAnsi="Arial" w:cs="Arial"/>
                <w:sz w:val="24"/>
                <w:szCs w:val="24"/>
                <w:lang w:val="el-GR"/>
              </w:rPr>
              <w:t>) οργανισμός συλλογικών επενδύσεων σε κινητές αξίες,</w:t>
            </w:r>
          </w:p>
          <w:p w14:paraId="621C9419" w14:textId="77777777" w:rsidR="00DD79D8" w:rsidRPr="000C0C4D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6A6981" w14:textId="77777777" w:rsidR="00DD79D8" w:rsidRPr="000C0C4D" w:rsidRDefault="008640D9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κβ</w:t>
            </w:r>
            <w:r w:rsidR="00DD79D8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) χρηματοδοτικό </w:t>
            </w:r>
            <w:proofErr w:type="spellStart"/>
            <w:r w:rsidR="00DD79D8" w:rsidRPr="000C0C4D">
              <w:rPr>
                <w:rFonts w:ascii="Arial" w:hAnsi="Arial" w:cs="Arial"/>
                <w:sz w:val="24"/>
                <w:szCs w:val="24"/>
                <w:lang w:val="el-GR"/>
              </w:rPr>
              <w:t>ίδρ</w:t>
            </w:r>
            <w:bookmarkStart w:id="2" w:name="_GoBack"/>
            <w:bookmarkEnd w:id="2"/>
            <w:r w:rsidR="00DD79D8" w:rsidRPr="000C0C4D">
              <w:rPr>
                <w:rFonts w:ascii="Arial" w:hAnsi="Arial" w:cs="Arial"/>
                <w:sz w:val="24"/>
                <w:szCs w:val="24"/>
                <w:lang w:val="el-GR"/>
              </w:rPr>
              <w:t>υμα∙</w:t>
            </w:r>
            <w:proofErr w:type="spellEnd"/>
          </w:p>
          <w:p w14:paraId="765E85AD" w14:textId="77777777" w:rsidR="00CB49AD" w:rsidRPr="000C0C4D" w:rsidRDefault="00CB49AD" w:rsidP="00CB49A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3B3BF4" w14:textId="77777777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277CE17" w14:textId="77777777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«χρηματοοικονομικό σύστημα» σημαίνει τον τομέα της οικονομίας που αποτελείται από τους χρηματοοικονομικούς οργανισμούς, τις χρηματοοικονομικές αγορές και τις υποδομές των χρηματοοικονομικών αγορών.</w:t>
            </w:r>
          </w:p>
          <w:p w14:paraId="392A2904" w14:textId="77777777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D57E48" w14:paraId="5484E182" w14:textId="77777777" w:rsidTr="008B1D4A">
        <w:tc>
          <w:tcPr>
            <w:tcW w:w="1521" w:type="dxa"/>
          </w:tcPr>
          <w:p w14:paraId="037DF430" w14:textId="77777777" w:rsidR="00C10A55" w:rsidRPr="00474402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Σκοπός του Νόμου</w:t>
            </w:r>
            <w:r w:rsidR="004744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14:paraId="120D7908" w14:textId="53D0A431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b/>
                <w:sz w:val="24"/>
                <w:szCs w:val="24"/>
                <w:lang w:val="el-GR"/>
              </w:rPr>
              <w:t>3.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-(1) </w:t>
            </w:r>
            <w:r w:rsidR="00CC0850" w:rsidRPr="000C0C4D">
              <w:rPr>
                <w:rFonts w:ascii="Arial" w:hAnsi="Arial" w:cs="Arial"/>
                <w:sz w:val="24"/>
                <w:szCs w:val="24"/>
              </w:rPr>
              <w:t>O</w:t>
            </w:r>
            <w:r w:rsidR="00CC0850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παρών Νόμος εξουσιοδοτεί το Υπουργικό Συμβούλιο  να αποφασίζει τη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λήψη </w:t>
            </w:r>
            <w:r w:rsidR="00BC49DA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εκτάκτων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μέτρων από </w:t>
            </w:r>
            <w:r w:rsidR="00F8463C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ρηματοοικονομικούς </w:t>
            </w:r>
            <w:r w:rsidR="00F8463C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ργανισμούς και αρμόδιες εποπτικές αρχές, εφόσον σύμφωνα με </w:t>
            </w:r>
            <w:r w:rsidR="000C63F6">
              <w:rPr>
                <w:rFonts w:ascii="Arial" w:hAnsi="Arial" w:cs="Arial"/>
                <w:sz w:val="24"/>
                <w:szCs w:val="24"/>
                <w:lang w:val="el-GR"/>
              </w:rPr>
              <w:t>την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 Κεντρική Τράπεζα η λήψη μέτρων </w:t>
            </w:r>
            <w:r w:rsidR="00571681" w:rsidRPr="000C0C4D">
              <w:rPr>
                <w:rFonts w:ascii="Arial" w:hAnsi="Arial" w:cs="Arial"/>
                <w:sz w:val="24"/>
                <w:szCs w:val="24"/>
                <w:lang w:val="el-GR"/>
              </w:rPr>
              <w:t>αναστολής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0C63F6">
              <w:rPr>
                <w:rFonts w:ascii="Arial" w:hAnsi="Arial" w:cs="Arial"/>
                <w:sz w:val="24"/>
                <w:szCs w:val="24"/>
                <w:lang w:val="el-GR"/>
              </w:rPr>
              <w:t>συμβάλλει στη διαφύλαξη της χρηματοπιστωτικής σταθερότητας της Δημοκρατίας</w:t>
            </w:r>
            <w:r w:rsidR="00F8463C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C63F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9E8E619" w14:textId="77777777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D01DC7" w14:textId="77777777" w:rsidR="00C10A55" w:rsidRPr="000C0C4D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(2) Τα μέτρα αναστολής λαμβάνονται με γνώμονα τη διασφάλιση της μακροπρόθεσμης βιωσιμότητας του χρηματοοικονομικ</w:t>
            </w:r>
            <w:r w:rsidR="00DD79D8" w:rsidRPr="000C0C4D">
              <w:rPr>
                <w:rFonts w:ascii="Arial" w:hAnsi="Arial" w:cs="Arial"/>
                <w:sz w:val="24"/>
                <w:szCs w:val="24"/>
                <w:lang w:val="el-GR"/>
              </w:rPr>
              <w:t>ού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συστήματος, την προαγωγή της δημόσιας ωφέλειας και την εξυπηρέτηση του δημοσίου συμφέροντος.</w:t>
            </w:r>
          </w:p>
          <w:p w14:paraId="59134D2F" w14:textId="77777777" w:rsidR="00800D0C" w:rsidRPr="000C0C4D" w:rsidRDefault="00800D0C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D57E48" w14:paraId="079AC9D0" w14:textId="77777777" w:rsidTr="008B1D4A">
        <w:tc>
          <w:tcPr>
            <w:tcW w:w="1521" w:type="dxa"/>
          </w:tcPr>
          <w:p w14:paraId="08CC257A" w14:textId="77777777" w:rsidR="00C10A55" w:rsidRPr="000C0C4D" w:rsidRDefault="0047440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Μέτρα α</w:t>
            </w:r>
            <w:r w:rsidR="00C10A55" w:rsidRPr="000C0C4D">
              <w:rPr>
                <w:rFonts w:ascii="Arial" w:hAnsi="Arial" w:cs="Arial"/>
                <w:sz w:val="24"/>
                <w:szCs w:val="24"/>
                <w:lang w:val="el-GR"/>
              </w:rPr>
              <w:t>ναστολής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29" w:type="dxa"/>
          </w:tcPr>
          <w:p w14:paraId="1AC6665B" w14:textId="77777777" w:rsidR="00571681" w:rsidRPr="000C0C4D" w:rsidRDefault="00571681" w:rsidP="0057168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b/>
                <w:sz w:val="24"/>
                <w:szCs w:val="24"/>
                <w:lang w:val="el-GR"/>
              </w:rPr>
              <w:t>4.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(1) Τηρουμένων των διατάξεων του άρθρου 3 του παρόντος Νόμου, το Υπουργικό Συμβούλιο, ανεξαρτήτως των διατάξεων οποιουδήποτε άλλου Νόμου, δύναται να </w:t>
            </w:r>
            <w:r w:rsidR="00CC0850" w:rsidRPr="000C0C4D">
              <w:rPr>
                <w:rFonts w:ascii="Arial" w:hAnsi="Arial" w:cs="Arial"/>
                <w:sz w:val="24"/>
                <w:szCs w:val="24"/>
                <w:lang w:val="el-GR"/>
              </w:rPr>
              <w:t>αποφασίζει την αναστολή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</w:p>
          <w:p w14:paraId="48516AE7" w14:textId="77777777" w:rsidR="00571681" w:rsidRPr="000C0C4D" w:rsidRDefault="00571681" w:rsidP="0057168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7F0272" w14:textId="77777777" w:rsidR="00571681" w:rsidRPr="000C0C4D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(i) της αποπληρωμής δόσεων </w:t>
            </w:r>
            <w:r w:rsidR="00E70F5C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συμπεριλαμβανομένων και τόκων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για πιστωτικές διευκολύ</w:t>
            </w:r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νσεις προς </w:t>
            </w:r>
            <w:r w:rsidR="00E83A3B" w:rsidRPr="000C0C4D">
              <w:rPr>
                <w:rFonts w:ascii="Arial" w:hAnsi="Arial" w:cs="Arial"/>
                <w:sz w:val="24"/>
                <w:szCs w:val="24"/>
                <w:lang w:val="en-GB"/>
              </w:rPr>
              <w:t>X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ρηματοοικονομικούς</w:t>
            </w:r>
            <w:proofErr w:type="spellEnd"/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83A3B" w:rsidRPr="000C0C4D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proofErr w:type="spellStart"/>
            <w:r w:rsidR="00E83A3B" w:rsidRPr="000C0C4D">
              <w:rPr>
                <w:rFonts w:ascii="Arial" w:hAnsi="Arial" w:cs="Arial"/>
                <w:sz w:val="24"/>
                <w:szCs w:val="24"/>
                <w:lang w:val="el-GR"/>
              </w:rPr>
              <w:t>ργανισμούς</w:t>
            </w:r>
            <w:proofErr w:type="spellEnd"/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για καθορισμένες κατηγορίες δανειοληπτών,·</w:t>
            </w:r>
          </w:p>
          <w:p w14:paraId="018DCA27" w14:textId="77777777" w:rsidR="00571681" w:rsidRPr="000C0C4D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90DBA9" w14:textId="309EFB53" w:rsidR="00571681" w:rsidRPr="000C0C4D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(ii) </w:t>
            </w:r>
            <w:r w:rsidR="00236D59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λήψης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οποιονδήποτε μέτρων από τους </w:t>
            </w:r>
            <w:r w:rsidR="00640A94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ρηματοοικονομικούς </w:t>
            </w:r>
            <w:r w:rsidR="00640A94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ργανισμούς λόγω της εφαρμογής του μέτρου</w:t>
            </w:r>
            <w:r w:rsidR="00CC0850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αναφέρεται στην παράγραφο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r w:rsidRPr="000C0C4D">
              <w:rPr>
                <w:rFonts w:ascii="Arial" w:hAnsi="Arial" w:cs="Arial"/>
                <w:sz w:val="24"/>
                <w:szCs w:val="24"/>
              </w:rPr>
              <w:t>i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CC0850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εδαφίου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,·</w:t>
            </w:r>
          </w:p>
          <w:p w14:paraId="4B47C3A7" w14:textId="77777777" w:rsidR="00571681" w:rsidRPr="000C0C4D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29BA22" w14:textId="63279E67" w:rsidR="00E942BE" w:rsidRPr="000C0C4D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(iii)</w:t>
            </w:r>
            <w:r w:rsidR="00236D5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942B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υποχρεώσεων </w:t>
            </w:r>
            <w:r w:rsidR="00640A94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="00E942B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ρηματοοικονομικών </w:t>
            </w:r>
            <w:r w:rsidR="00640A94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E942B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ργανισμών για την ετοιμασία, υποβολή και ανακοίνωση των οικονομικών τους </w:t>
            </w:r>
            <w:r w:rsidR="008B0DDB" w:rsidRPr="000C0C4D">
              <w:rPr>
                <w:rFonts w:ascii="Arial" w:hAnsi="Arial" w:cs="Arial"/>
                <w:sz w:val="24"/>
                <w:szCs w:val="24"/>
                <w:lang w:val="el-GR"/>
              </w:rPr>
              <w:t>καταστάσεων</w:t>
            </w:r>
            <w:r w:rsidR="00E942BE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2AD66360" w14:textId="77777777" w:rsidR="00E942BE" w:rsidRPr="000C0C4D" w:rsidRDefault="00E942BE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AF161D" w14:textId="77777777" w:rsidR="00E942BE" w:rsidRPr="000C0C4D" w:rsidRDefault="00E942BE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(2) Τα μέτρα αναστολής διέπονται από τις ακόλουθες γενικές αρχές:</w:t>
            </w:r>
          </w:p>
          <w:p w14:paraId="40F0583C" w14:textId="77777777" w:rsidR="00E942BE" w:rsidRPr="000C0C4D" w:rsidRDefault="00E942BE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75DFD2" w14:textId="77777777" w:rsidR="00CC0850" w:rsidRPr="000C0C4D" w:rsidRDefault="00E942BE" w:rsidP="00CC08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  <w:r w:rsidR="00005932" w:rsidRPr="000C0C4D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CC0850" w:rsidRPr="000C0C4D">
              <w:rPr>
                <w:rFonts w:ascii="Arial" w:hAnsi="Arial" w:cs="Arial"/>
                <w:sz w:val="24"/>
                <w:szCs w:val="24"/>
                <w:lang w:val="el-GR"/>
              </w:rPr>
              <w:t>ίναι περιορισμένης έκτασης και προσωρινού χαρακτήρα</w:t>
            </w:r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481855F4" w14:textId="77777777" w:rsidR="00CC0850" w:rsidRPr="000C0C4D" w:rsidRDefault="00CC0850" w:rsidP="00CC08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8A6433C" w14:textId="1BC1886C" w:rsidR="00E942BE" w:rsidRPr="000C0C4D" w:rsidRDefault="00CC0850" w:rsidP="00474402">
            <w:pPr>
              <w:ind w:left="2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Νοείται ότι, σε εξαμηνιαία βάση, το Υπουργείο Οικονομικών σε συνεργασία με την Κεντρική Τράπεζα και αφού η τελευταία συμβουλευθεί προηγουμένως την αρμόδια εποπτική αρχή, εξετάζουν από κοινού το ενδεχόμενο τερματισμού ή τροποποίησης</w:t>
            </w:r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των μέτρων ανα</w:t>
            </w:r>
            <w:r w:rsidR="008B0DDB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στολής 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και σε περίπτωση που έκαστο μέτρο αναστολής ενδείκνυται να τροποποιηθεί ή τερματιστεί, υποβάλλεται από το</w:t>
            </w:r>
            <w:r w:rsidR="00236D59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Υπουργ</w:t>
            </w:r>
            <w:r w:rsidR="00236D59">
              <w:rPr>
                <w:rFonts w:ascii="Arial" w:hAnsi="Arial" w:cs="Arial"/>
                <w:sz w:val="24"/>
                <w:szCs w:val="24"/>
                <w:lang w:val="el-GR"/>
              </w:rPr>
              <w:t>ό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, σε συνεργασία με την Κεντρική Τράπεζα, </w:t>
            </w:r>
            <w:r w:rsidR="008B0DDB" w:rsidRPr="000C0C4D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ρόταση προς το Υπουργικό Συμβούλιο για λήψη απόφασης για τροποποίηση ή τερματισμό του.</w:t>
            </w:r>
          </w:p>
          <w:p w14:paraId="4D6E4D95" w14:textId="77777777" w:rsidR="008B0DDB" w:rsidRPr="000C0C4D" w:rsidRDefault="008B0DDB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A31F7A" w14:textId="6641EAFF" w:rsidR="00E942BE" w:rsidRDefault="00E942BE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(β) εφαρμόζονται με γνώμονα την επίτευξη των πιο κάτω στόχων:</w:t>
            </w:r>
          </w:p>
          <w:p w14:paraId="09E131F3" w14:textId="1F45EDAD" w:rsidR="00316A7F" w:rsidRDefault="00316A7F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B3918C3" w14:textId="77777777" w:rsidR="00316A7F" w:rsidRDefault="00316A7F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(ι)  τη διασφάλιση της σταθερότητας και την εύρυθμη λειτουργία</w:t>
            </w:r>
          </w:p>
          <w:p w14:paraId="58BBDABD" w14:textId="541C42B6" w:rsidR="00316A7F" w:rsidRPr="000C0C4D" w:rsidRDefault="00316A7F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του χρηματοοικονομικού συστήματος</w:t>
            </w:r>
          </w:p>
          <w:p w14:paraId="5BFB56B2" w14:textId="77777777" w:rsidR="00E942BE" w:rsidRPr="000C0C4D" w:rsidRDefault="00E942BE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39E086" w14:textId="077869C3" w:rsidR="001800A7" w:rsidRPr="00316A7F" w:rsidRDefault="001800A7" w:rsidP="00316A7F">
            <w:pPr>
              <w:pStyle w:val="ListParagraph"/>
              <w:ind w:left="144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676A2B" w14:textId="77777777" w:rsidR="001800A7" w:rsidRPr="00316A7F" w:rsidRDefault="001800A7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60C644" w14:textId="77777777" w:rsidR="00E942BE" w:rsidRPr="000C0C4D" w:rsidRDefault="001800A7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ιι</w:t>
            </w:r>
            <w:proofErr w:type="spellEnd"/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8B0DDB" w:rsidRPr="000C0C4D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E942BE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η </w:t>
            </w:r>
            <w:r w:rsidR="0026677E" w:rsidRPr="000C0C4D">
              <w:rPr>
                <w:rFonts w:ascii="Arial" w:hAnsi="Arial" w:cs="Arial"/>
                <w:sz w:val="24"/>
                <w:szCs w:val="24"/>
                <w:lang w:val="el-GR"/>
              </w:rPr>
              <w:t>στήριξη δανειοληπτών που καλύπτονται από τις πρόνοιες του παρόντος νόμου</w:t>
            </w:r>
            <w:r w:rsidR="008B0DDB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70A305F4" w14:textId="77777777" w:rsidR="00E942BE" w:rsidRPr="000C0C4D" w:rsidRDefault="00E942BE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284705" w14:textId="0B6828B7" w:rsidR="00E942BE" w:rsidRPr="000C0C4D" w:rsidRDefault="00E942BE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(ii</w:t>
            </w:r>
            <w:r w:rsidR="00236D59">
              <w:rPr>
                <w:rFonts w:ascii="Arial" w:hAnsi="Arial" w:cs="Arial"/>
                <w:sz w:val="24"/>
                <w:szCs w:val="24"/>
              </w:rPr>
              <w:t>i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) την πρόληψη της δημιουργίας ή της εξάπλωσης κινδύνων με πιθανές δυσμενείς επιπτώσεις στη σταθερότητα του χρηματοοικονομικού συστήματος,</w:t>
            </w:r>
          </w:p>
          <w:p w14:paraId="0878A27C" w14:textId="77777777" w:rsidR="00E942BE" w:rsidRPr="000C0C4D" w:rsidRDefault="00E942BE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6FE261F" w14:textId="02E118E2" w:rsidR="00B45FFF" w:rsidRPr="000C0C4D" w:rsidRDefault="00474402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(i</w:t>
            </w:r>
            <w:r w:rsidR="00236D59">
              <w:rPr>
                <w:rFonts w:ascii="Arial" w:hAnsi="Arial" w:cs="Arial"/>
                <w:sz w:val="24"/>
                <w:szCs w:val="24"/>
              </w:rPr>
              <w:t>v</w:t>
            </w:r>
            <w:r w:rsidR="00E942BE" w:rsidRPr="000C0C4D">
              <w:rPr>
                <w:rFonts w:ascii="Arial" w:hAnsi="Arial" w:cs="Arial"/>
                <w:sz w:val="24"/>
                <w:szCs w:val="24"/>
                <w:lang w:val="el-GR"/>
              </w:rPr>
              <w:t>) την προστασία των δημόσιων πόρων με την ελαχιστοποίηση του κόστους στήριξης για τους φορολογούμενους</w:t>
            </w:r>
            <w:r w:rsidR="00B45FFF" w:rsidRPr="000C0C4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2F093A25" w14:textId="77777777" w:rsidR="00B45FFF" w:rsidRPr="000C0C4D" w:rsidRDefault="00B45FFF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00870D7" w14:textId="10843859" w:rsidR="00B45FFF" w:rsidRPr="000C0C4D" w:rsidRDefault="00B45FFF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0C0C4D">
              <w:rPr>
                <w:rFonts w:ascii="Arial" w:hAnsi="Arial" w:cs="Arial"/>
                <w:sz w:val="24"/>
                <w:szCs w:val="24"/>
              </w:rPr>
              <w:t>v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) την εξυπηρέτηση του δημοσίου συμφέροντος.</w:t>
            </w:r>
          </w:p>
          <w:p w14:paraId="2EDDA1F4" w14:textId="77777777" w:rsidR="00C10A55" w:rsidRPr="000C0C4D" w:rsidRDefault="00C10A55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D57E48" w14:paraId="1C21F90B" w14:textId="77777777" w:rsidTr="008B1D4A">
        <w:tc>
          <w:tcPr>
            <w:tcW w:w="1521" w:type="dxa"/>
          </w:tcPr>
          <w:p w14:paraId="583CDE91" w14:textId="77777777" w:rsidR="00C10A55" w:rsidRPr="000C0C4D" w:rsidRDefault="00C10A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Έκδοση </w:t>
            </w:r>
            <w:r w:rsidR="00571681" w:rsidRPr="000C0C4D">
              <w:rPr>
                <w:rFonts w:ascii="Arial" w:hAnsi="Arial" w:cs="Arial"/>
                <w:sz w:val="24"/>
                <w:szCs w:val="24"/>
                <w:lang w:val="el-GR"/>
              </w:rPr>
              <w:t>Διαταγμάτων</w:t>
            </w:r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29" w:type="dxa"/>
          </w:tcPr>
          <w:p w14:paraId="32334EBF" w14:textId="77777777" w:rsidR="00C10A55" w:rsidRPr="000C0C4D" w:rsidRDefault="00CB49AD" w:rsidP="00B4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0C0C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/>
              </w:rPr>
              <w:t>5</w:t>
            </w:r>
            <w:r w:rsidR="00C10A55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.-(1) Ο Υπουργός, με τη σύμφωνη γνώμη της Κεντρικής Τράπεζας, και αφού η Κεντρική Τράπεζα συμβουλευθεί προηγουμένως τις αρμόδιες εποπτικές αρχές δύναται να εκδίδει διατάγματα για τη ρύθμιση ή καλύτερη εφαρμογή των διατάξεων του παρόντος Νόμου.</w:t>
            </w:r>
          </w:p>
          <w:p w14:paraId="7560C8B4" w14:textId="77777777" w:rsidR="00C10A55" w:rsidRPr="000C0C4D" w:rsidRDefault="00C10A55" w:rsidP="00B4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(2) Χωρίς επηρεασμό της γενικότητας του παρόντος άρθρου, διάταγμα που εκδίδεται δυνάμει των διατάξεων του εδαφίου (1), δύναται να προβλέπει για όλα ή για οποιοδήποτε από τα ακόλουθα θέματα:</w:t>
            </w:r>
          </w:p>
          <w:p w14:paraId="1D00A0FF" w14:textId="77777777" w:rsidR="00C10A55" w:rsidRPr="000C0C4D" w:rsidRDefault="00C10A55" w:rsidP="00B45FFF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(α) </w:t>
            </w:r>
            <w:r w:rsidR="00CC0850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τον τρόπο εφαρμογής των </w:t>
            </w:r>
            <w:r w:rsidR="001800A7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εκτάκτων </w:t>
            </w:r>
            <w:r w:rsidR="00CC0850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μέτρων </w:t>
            </w:r>
            <w:r w:rsidR="00B45FFF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και τη χρονική τους</w:t>
            </w:r>
            <w:r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διάρκεια·</w:t>
            </w:r>
          </w:p>
          <w:p w14:paraId="3C2D1700" w14:textId="3B72622F" w:rsidR="00C10A55" w:rsidRPr="000C0C4D" w:rsidRDefault="00C10A55" w:rsidP="00B45FFF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(β) τις προϋποθέ</w:t>
            </w:r>
            <w:r w:rsidR="00B45FFF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σεις και τους όρους για τη </w:t>
            </w:r>
            <w:r w:rsidR="001800A7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λήψη </w:t>
            </w:r>
            <w:r w:rsidR="00C85A2E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των </w:t>
            </w:r>
            <w:r w:rsidR="001800A7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εκτάκτων </w:t>
            </w:r>
            <w:r w:rsidR="00C85A2E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μέτρων.</w:t>
            </w:r>
          </w:p>
          <w:p w14:paraId="28D835F7" w14:textId="2E2D8A3B" w:rsidR="00C10A55" w:rsidRPr="000C0C4D" w:rsidRDefault="00C10A55" w:rsidP="00C85A2E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(γ) </w:t>
            </w:r>
            <w:r w:rsidR="00CC0850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μέτρα </w:t>
            </w:r>
            <w:r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που πρέπει να </w:t>
            </w:r>
            <w:r w:rsidR="00CC0850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ληφθούν</w:t>
            </w:r>
            <w:r w:rsidR="00236D59" w:rsidRPr="00236D59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προς αποφυγήν της κατάχρησης </w:t>
            </w:r>
            <w:r w:rsidR="001800A7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των εκτάκτων</w:t>
            </w:r>
            <w:r w:rsidR="00474402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 w:rsidR="00C85A2E"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μέτρων</w:t>
            </w:r>
            <w:r w:rsidRPr="000C0C4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.</w:t>
            </w:r>
          </w:p>
          <w:p w14:paraId="099B0BD7" w14:textId="77777777" w:rsidR="00C10A55" w:rsidRPr="000C0C4D" w:rsidRDefault="00C10A55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D57E48" w14:paraId="47D27F2F" w14:textId="77777777" w:rsidTr="008B1D4A">
        <w:trPr>
          <w:trHeight w:val="3304"/>
        </w:trPr>
        <w:tc>
          <w:tcPr>
            <w:tcW w:w="1521" w:type="dxa"/>
          </w:tcPr>
          <w:p w14:paraId="5E5BEED7" w14:textId="77777777" w:rsidR="00C10A55" w:rsidRPr="000C0C4D" w:rsidRDefault="0057168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Εξουσίες Κεντρικής Τράπεζας</w:t>
            </w:r>
            <w:r w:rsidR="0047440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29" w:type="dxa"/>
          </w:tcPr>
          <w:p w14:paraId="07E691C4" w14:textId="77777777" w:rsidR="00571681" w:rsidRPr="000C0C4D" w:rsidRDefault="00571681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b/>
                <w:sz w:val="24"/>
                <w:szCs w:val="24"/>
                <w:lang w:val="el-GR"/>
              </w:rPr>
              <w:t>6.</w:t>
            </w: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Ο παρών Νόμος δεν επηρεάζει-</w:t>
            </w:r>
          </w:p>
          <w:p w14:paraId="3372AFA5" w14:textId="77777777" w:rsidR="00571681" w:rsidRPr="000C0C4D" w:rsidRDefault="00571681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C9238F" w14:textId="77777777" w:rsidR="00571681" w:rsidRPr="000C0C4D" w:rsidRDefault="00571681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(α) τις αρμοδιότητες και εξουσίες της Κεντρικής Τράπεζας δυνάμει των διατάξεων του περί της Κεντρικής Τράπεζας της Κύπρου Νόμου και οποιουδήποτε άλλου σε ισχύ νόμου·</w:t>
            </w:r>
          </w:p>
          <w:p w14:paraId="2C65FDE4" w14:textId="77777777" w:rsidR="00571681" w:rsidRPr="000C0C4D" w:rsidRDefault="00571681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C9DE9B" w14:textId="77777777" w:rsidR="00571681" w:rsidRPr="000C0C4D" w:rsidRDefault="00571681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>(β) τις αρμοδιότητες και εξουσίες των αρμόδιων εποπτικών αρχών·</w:t>
            </w:r>
          </w:p>
          <w:p w14:paraId="5E6DC4C9" w14:textId="77777777" w:rsidR="00571681" w:rsidRPr="000C0C4D" w:rsidRDefault="00571681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23431D" w14:textId="77777777" w:rsidR="00C10A55" w:rsidRPr="000C0C4D" w:rsidRDefault="00B45FFF" w:rsidP="00474402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(γ) </w:t>
            </w:r>
            <w:r w:rsidR="00571681" w:rsidRPr="000C0C4D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εφαρμογή των προνοιών του περί Εξυγίανσης Πιστωτικών και Άλλων Ιδρυμάτων Νόμου και τις δυνάμει του Νόμου αυτού εξουσίες και αρμοδιότητες της Αρχής Εξυγίανσης.</w:t>
            </w:r>
          </w:p>
        </w:tc>
      </w:tr>
    </w:tbl>
    <w:p w14:paraId="71660B22" w14:textId="77777777" w:rsidR="00A41A55" w:rsidRPr="000C0C4D" w:rsidRDefault="00A41A55">
      <w:pPr>
        <w:rPr>
          <w:rFonts w:ascii="Arial" w:hAnsi="Arial" w:cs="Arial"/>
          <w:sz w:val="24"/>
          <w:szCs w:val="24"/>
          <w:lang w:val="el-GR"/>
        </w:rPr>
      </w:pPr>
    </w:p>
    <w:sectPr w:rsidR="00A41A55" w:rsidRPr="000C0C4D" w:rsidSect="002E217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545A" w14:textId="77777777" w:rsidR="006D4B55" w:rsidRDefault="006D4B55" w:rsidP="00B45FFF">
      <w:pPr>
        <w:spacing w:after="0" w:line="240" w:lineRule="auto"/>
      </w:pPr>
      <w:r>
        <w:separator/>
      </w:r>
    </w:p>
  </w:endnote>
  <w:endnote w:type="continuationSeparator" w:id="0">
    <w:p w14:paraId="35EEFC45" w14:textId="77777777" w:rsidR="006D4B55" w:rsidRDefault="006D4B55" w:rsidP="00B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149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C766" w14:textId="77777777" w:rsidR="00B45FFF" w:rsidRDefault="00556267" w:rsidP="0039664E">
        <w:pPr>
          <w:pStyle w:val="Footer"/>
        </w:pPr>
        <w:r>
          <w:fldChar w:fldCharType="begin"/>
        </w:r>
        <w:r w:rsidR="00B45FFF">
          <w:instrText xml:space="preserve"> PAGE   \* MERGEFORMAT </w:instrText>
        </w:r>
        <w:r>
          <w:fldChar w:fldCharType="separate"/>
        </w:r>
        <w:r w:rsidR="00D57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457790" w14:textId="77777777" w:rsidR="00B45FFF" w:rsidRDefault="00B45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49FF" w14:textId="77777777" w:rsidR="006D4B55" w:rsidRDefault="006D4B55" w:rsidP="00B45FFF">
      <w:pPr>
        <w:spacing w:after="0" w:line="240" w:lineRule="auto"/>
      </w:pPr>
      <w:r>
        <w:separator/>
      </w:r>
    </w:p>
  </w:footnote>
  <w:footnote w:type="continuationSeparator" w:id="0">
    <w:p w14:paraId="7C8019D3" w14:textId="77777777" w:rsidR="006D4B55" w:rsidRDefault="006D4B55" w:rsidP="00B4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D90"/>
    <w:multiLevelType w:val="hybridMultilevel"/>
    <w:tmpl w:val="EC448278"/>
    <w:lvl w:ilvl="0" w:tplc="D7FED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D7AF0"/>
    <w:multiLevelType w:val="hybridMultilevel"/>
    <w:tmpl w:val="3EDE3D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6FCE"/>
    <w:multiLevelType w:val="hybridMultilevel"/>
    <w:tmpl w:val="2284905E"/>
    <w:lvl w:ilvl="0" w:tplc="EC6C86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BE5"/>
    <w:multiLevelType w:val="multilevel"/>
    <w:tmpl w:val="4CE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54AAE"/>
    <w:multiLevelType w:val="hybridMultilevel"/>
    <w:tmpl w:val="255802D6"/>
    <w:lvl w:ilvl="0" w:tplc="3508B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68FF"/>
    <w:multiLevelType w:val="hybridMultilevel"/>
    <w:tmpl w:val="A3D84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32DDF"/>
    <w:multiLevelType w:val="multilevel"/>
    <w:tmpl w:val="023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53303"/>
    <w:multiLevelType w:val="multilevel"/>
    <w:tmpl w:val="91A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5390D"/>
    <w:multiLevelType w:val="hybridMultilevel"/>
    <w:tmpl w:val="E72E66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032B"/>
    <w:multiLevelType w:val="multilevel"/>
    <w:tmpl w:val="7D3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507F4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607C8"/>
    <w:multiLevelType w:val="hybridMultilevel"/>
    <w:tmpl w:val="656C5D84"/>
    <w:lvl w:ilvl="0" w:tplc="813AF8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423DF"/>
    <w:multiLevelType w:val="hybridMultilevel"/>
    <w:tmpl w:val="9F40F9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A4824"/>
    <w:multiLevelType w:val="hybridMultilevel"/>
    <w:tmpl w:val="8FA881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5"/>
    <w:rsid w:val="00001FE8"/>
    <w:rsid w:val="00005932"/>
    <w:rsid w:val="00025838"/>
    <w:rsid w:val="000531A3"/>
    <w:rsid w:val="00083308"/>
    <w:rsid w:val="000C0C4D"/>
    <w:rsid w:val="000C63F6"/>
    <w:rsid w:val="000D1478"/>
    <w:rsid w:val="000F4238"/>
    <w:rsid w:val="00106BFD"/>
    <w:rsid w:val="00121D72"/>
    <w:rsid w:val="00142081"/>
    <w:rsid w:val="001800A7"/>
    <w:rsid w:val="001A4E13"/>
    <w:rsid w:val="001B0373"/>
    <w:rsid w:val="00213FD8"/>
    <w:rsid w:val="00236D59"/>
    <w:rsid w:val="0026677E"/>
    <w:rsid w:val="002E2178"/>
    <w:rsid w:val="00316A7F"/>
    <w:rsid w:val="003528F5"/>
    <w:rsid w:val="003951C2"/>
    <w:rsid w:val="0039664E"/>
    <w:rsid w:val="003A46EB"/>
    <w:rsid w:val="00430581"/>
    <w:rsid w:val="00474402"/>
    <w:rsid w:val="00475C8D"/>
    <w:rsid w:val="004A420A"/>
    <w:rsid w:val="004E4C06"/>
    <w:rsid w:val="0051252C"/>
    <w:rsid w:val="00556267"/>
    <w:rsid w:val="00571681"/>
    <w:rsid w:val="00574230"/>
    <w:rsid w:val="00582D9B"/>
    <w:rsid w:val="00586EA8"/>
    <w:rsid w:val="005973DC"/>
    <w:rsid w:val="005E1EA3"/>
    <w:rsid w:val="00640A94"/>
    <w:rsid w:val="00686DF3"/>
    <w:rsid w:val="006B6B84"/>
    <w:rsid w:val="006D4B55"/>
    <w:rsid w:val="006D6A37"/>
    <w:rsid w:val="006F1750"/>
    <w:rsid w:val="0073459F"/>
    <w:rsid w:val="007349BA"/>
    <w:rsid w:val="007549A5"/>
    <w:rsid w:val="00761FA6"/>
    <w:rsid w:val="00766D60"/>
    <w:rsid w:val="00770379"/>
    <w:rsid w:val="007728C4"/>
    <w:rsid w:val="007A2B78"/>
    <w:rsid w:val="007B7850"/>
    <w:rsid w:val="00800D0C"/>
    <w:rsid w:val="00855D30"/>
    <w:rsid w:val="008640D9"/>
    <w:rsid w:val="008743B7"/>
    <w:rsid w:val="00880D34"/>
    <w:rsid w:val="008943E6"/>
    <w:rsid w:val="008B0DDB"/>
    <w:rsid w:val="008B0F58"/>
    <w:rsid w:val="008B1D4A"/>
    <w:rsid w:val="008E06E4"/>
    <w:rsid w:val="0090038F"/>
    <w:rsid w:val="00930FD1"/>
    <w:rsid w:val="009441CE"/>
    <w:rsid w:val="009F2273"/>
    <w:rsid w:val="00A41A55"/>
    <w:rsid w:val="00A6566B"/>
    <w:rsid w:val="00AA1547"/>
    <w:rsid w:val="00AA2256"/>
    <w:rsid w:val="00AF7D31"/>
    <w:rsid w:val="00B020D3"/>
    <w:rsid w:val="00B066EA"/>
    <w:rsid w:val="00B340D4"/>
    <w:rsid w:val="00B45FFF"/>
    <w:rsid w:val="00B660C7"/>
    <w:rsid w:val="00B93BCF"/>
    <w:rsid w:val="00BB4308"/>
    <w:rsid w:val="00BC49DA"/>
    <w:rsid w:val="00BF4A7F"/>
    <w:rsid w:val="00C10A55"/>
    <w:rsid w:val="00C431EE"/>
    <w:rsid w:val="00C7223B"/>
    <w:rsid w:val="00C85A2E"/>
    <w:rsid w:val="00CA08A8"/>
    <w:rsid w:val="00CA418E"/>
    <w:rsid w:val="00CB49AD"/>
    <w:rsid w:val="00CC0850"/>
    <w:rsid w:val="00CC64F4"/>
    <w:rsid w:val="00CE7CD1"/>
    <w:rsid w:val="00D54F5B"/>
    <w:rsid w:val="00D55854"/>
    <w:rsid w:val="00D57E48"/>
    <w:rsid w:val="00DA1970"/>
    <w:rsid w:val="00DD55AD"/>
    <w:rsid w:val="00DD79D8"/>
    <w:rsid w:val="00DE45DD"/>
    <w:rsid w:val="00E00D78"/>
    <w:rsid w:val="00E02A7B"/>
    <w:rsid w:val="00E17E40"/>
    <w:rsid w:val="00E70F5C"/>
    <w:rsid w:val="00E83A3B"/>
    <w:rsid w:val="00E917BB"/>
    <w:rsid w:val="00E93A5C"/>
    <w:rsid w:val="00E942BE"/>
    <w:rsid w:val="00E96256"/>
    <w:rsid w:val="00F071A5"/>
    <w:rsid w:val="00F52B60"/>
    <w:rsid w:val="00F52C2E"/>
    <w:rsid w:val="00F8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FF"/>
  </w:style>
  <w:style w:type="paragraph" w:styleId="Footer">
    <w:name w:val="footer"/>
    <w:basedOn w:val="Normal"/>
    <w:link w:val="FooterChar"/>
    <w:uiPriority w:val="99"/>
    <w:unhideWhenUsed/>
    <w:rsid w:val="00B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FF"/>
  </w:style>
  <w:style w:type="paragraph" w:styleId="BalloonText">
    <w:name w:val="Balloon Text"/>
    <w:basedOn w:val="Normal"/>
    <w:link w:val="BalloonTextChar"/>
    <w:uiPriority w:val="99"/>
    <w:semiHidden/>
    <w:unhideWhenUsed/>
    <w:rsid w:val="007B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5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A6566B"/>
  </w:style>
  <w:style w:type="paragraph" w:styleId="NoSpacing">
    <w:name w:val="No Spacing"/>
    <w:uiPriority w:val="1"/>
    <w:qFormat/>
    <w:rsid w:val="003A46EB"/>
    <w:pPr>
      <w:spacing w:after="0" w:line="240" w:lineRule="auto"/>
    </w:pPr>
  </w:style>
  <w:style w:type="character" w:customStyle="1" w:styleId="toc-instrument-enum">
    <w:name w:val="toc-instrument-enum"/>
    <w:basedOn w:val="DefaultParagraphFont"/>
    <w:rsid w:val="006D6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FF"/>
  </w:style>
  <w:style w:type="paragraph" w:styleId="Footer">
    <w:name w:val="footer"/>
    <w:basedOn w:val="Normal"/>
    <w:link w:val="FooterChar"/>
    <w:uiPriority w:val="99"/>
    <w:unhideWhenUsed/>
    <w:rsid w:val="00B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FF"/>
  </w:style>
  <w:style w:type="paragraph" w:styleId="BalloonText">
    <w:name w:val="Balloon Text"/>
    <w:basedOn w:val="Normal"/>
    <w:link w:val="BalloonTextChar"/>
    <w:uiPriority w:val="99"/>
    <w:semiHidden/>
    <w:unhideWhenUsed/>
    <w:rsid w:val="007B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5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A6566B"/>
  </w:style>
  <w:style w:type="paragraph" w:styleId="NoSpacing">
    <w:name w:val="No Spacing"/>
    <w:uiPriority w:val="1"/>
    <w:qFormat/>
    <w:rsid w:val="003A46EB"/>
    <w:pPr>
      <w:spacing w:after="0" w:line="240" w:lineRule="auto"/>
    </w:pPr>
  </w:style>
  <w:style w:type="character" w:customStyle="1" w:styleId="toc-instrument-enum">
    <w:name w:val="toc-instrument-enum"/>
    <w:basedOn w:val="DefaultParagraphFont"/>
    <w:rsid w:val="006D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1AEC-7542-4DF8-8C4D-D08E4460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1986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DDIONYSSIOU</dc:creator>
  <cp:lastModifiedBy>miranda</cp:lastModifiedBy>
  <cp:revision>2</cp:revision>
  <cp:lastPrinted>2020-03-26T12:00:00Z</cp:lastPrinted>
  <dcterms:created xsi:type="dcterms:W3CDTF">2020-03-26T12:29:00Z</dcterms:created>
  <dcterms:modified xsi:type="dcterms:W3CDTF">2020-03-26T12:29:00Z</dcterms:modified>
</cp:coreProperties>
</file>