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5C97" w14:textId="77777777" w:rsidR="0062669F" w:rsidRDefault="0062669F" w:rsidP="0062669F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446"/>
        <w:gridCol w:w="1259"/>
        <w:gridCol w:w="5415"/>
        <w:gridCol w:w="4206"/>
      </w:tblGrid>
      <w:tr w:rsidR="0062669F" w:rsidRPr="00884E45" w14:paraId="69562673" w14:textId="77777777" w:rsidTr="00252E6C">
        <w:trPr>
          <w:jc w:val="center"/>
        </w:trPr>
        <w:tc>
          <w:tcPr>
            <w:tcW w:w="623" w:type="dxa"/>
            <w:shd w:val="clear" w:color="auto" w:fill="E0E0E0"/>
            <w:vAlign w:val="center"/>
          </w:tcPr>
          <w:p w14:paraId="5434B187" w14:textId="77777777" w:rsidR="0062669F" w:rsidRPr="00884E45" w:rsidRDefault="0062669F" w:rsidP="00252E6C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447" w:type="dxa"/>
            <w:shd w:val="clear" w:color="auto" w:fill="E0E0E0"/>
            <w:vAlign w:val="center"/>
          </w:tcPr>
          <w:p w14:paraId="048B669B" w14:textId="77777777" w:rsidR="0062669F" w:rsidRPr="00884E45" w:rsidRDefault="0062669F" w:rsidP="00252E6C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Αρ.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Άρθρου </w:t>
            </w: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72EC04A0" w14:textId="77777777" w:rsidR="0062669F" w:rsidRPr="00884E45" w:rsidRDefault="0062669F" w:rsidP="00252E6C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Αρ. Σελ.</w:t>
            </w:r>
          </w:p>
        </w:tc>
        <w:tc>
          <w:tcPr>
            <w:tcW w:w="5421" w:type="dxa"/>
            <w:shd w:val="clear" w:color="auto" w:fill="E0E0E0"/>
            <w:vAlign w:val="center"/>
          </w:tcPr>
          <w:p w14:paraId="637A506E" w14:textId="1C265ABB" w:rsidR="0062669F" w:rsidRPr="00884E45" w:rsidRDefault="00603E39" w:rsidP="00252E6C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Άποψη/Θέση</w:t>
            </w:r>
          </w:p>
        </w:tc>
        <w:tc>
          <w:tcPr>
            <w:tcW w:w="4209" w:type="dxa"/>
            <w:shd w:val="clear" w:color="auto" w:fill="E0E0E0"/>
            <w:vAlign w:val="center"/>
          </w:tcPr>
          <w:p w14:paraId="666C71C9" w14:textId="77777777" w:rsidR="0062669F" w:rsidRPr="00884E45" w:rsidRDefault="0062669F" w:rsidP="00252E6C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Αιτιολόγηση</w:t>
            </w:r>
          </w:p>
        </w:tc>
      </w:tr>
      <w:tr w:rsidR="0062669F" w:rsidRPr="00307A68" w14:paraId="24EAA97C" w14:textId="77777777" w:rsidTr="00307A68">
        <w:trPr>
          <w:trHeight w:val="457"/>
          <w:jc w:val="center"/>
        </w:trPr>
        <w:tc>
          <w:tcPr>
            <w:tcW w:w="623" w:type="dxa"/>
          </w:tcPr>
          <w:p w14:paraId="544EA49E" w14:textId="77777777" w:rsidR="00307A68" w:rsidRDefault="00307A68" w:rsidP="00307A6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290E0257" w14:textId="77777777" w:rsidR="0062669F" w:rsidRPr="001F71D0" w:rsidRDefault="001F71D0" w:rsidP="00307A6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47" w:type="dxa"/>
          </w:tcPr>
          <w:p w14:paraId="680E2101" w14:textId="77777777" w:rsidR="00307A68" w:rsidRDefault="00307A68" w:rsidP="00307A6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197C810D" w14:textId="77777777" w:rsidR="0062669F" w:rsidRPr="00307A68" w:rsidRDefault="001F71D0" w:rsidP="00307A68">
            <w:pPr>
              <w:jc w:val="center"/>
              <w:rPr>
                <w:rFonts w:ascii="Arial" w:hAnsi="Arial" w:cs="Arial"/>
                <w:lang w:val="el-GR"/>
              </w:rPr>
            </w:pPr>
            <w:r w:rsidRPr="00307A68">
              <w:rPr>
                <w:rFonts w:ascii="Arial" w:hAnsi="Arial" w:cs="Arial"/>
                <w:lang w:val="el-GR"/>
              </w:rPr>
              <w:t>105 (3)</w:t>
            </w:r>
          </w:p>
        </w:tc>
        <w:tc>
          <w:tcPr>
            <w:tcW w:w="1260" w:type="dxa"/>
          </w:tcPr>
          <w:p w14:paraId="01151AE1" w14:textId="77777777" w:rsidR="00307A68" w:rsidRDefault="00307A68" w:rsidP="00307A6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586F8119" w14:textId="77777777" w:rsidR="0062669F" w:rsidRPr="00307A68" w:rsidRDefault="001F71D0" w:rsidP="00307A68">
            <w:pPr>
              <w:jc w:val="center"/>
              <w:rPr>
                <w:rFonts w:ascii="Arial" w:hAnsi="Arial" w:cs="Arial"/>
                <w:lang w:val="el-GR"/>
              </w:rPr>
            </w:pPr>
            <w:r w:rsidRPr="00307A68">
              <w:rPr>
                <w:rFonts w:ascii="Arial" w:hAnsi="Arial" w:cs="Arial"/>
                <w:lang w:val="el-GR"/>
              </w:rPr>
              <w:t>193</w:t>
            </w:r>
          </w:p>
        </w:tc>
        <w:tc>
          <w:tcPr>
            <w:tcW w:w="5421" w:type="dxa"/>
          </w:tcPr>
          <w:p w14:paraId="21B4D25A" w14:textId="77777777" w:rsidR="00307A68" w:rsidRDefault="00307A68" w:rsidP="00732856">
            <w:pPr>
              <w:pStyle w:val="Default"/>
              <w:spacing w:line="276" w:lineRule="auto"/>
              <w:rPr>
                <w:sz w:val="22"/>
                <w:szCs w:val="22"/>
                <w:lang w:val="el-GR"/>
              </w:rPr>
            </w:pPr>
          </w:p>
          <w:p w14:paraId="48B890D2" w14:textId="7C0FAEE9" w:rsidR="001F71D0" w:rsidRPr="001F71D0" w:rsidRDefault="00732856" w:rsidP="00732856">
            <w:pPr>
              <w:pStyle w:val="Default"/>
              <w:spacing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Δεδομένου ότι η εφαρμογή του συγκεκριμένου άρθρου προϋποθέτει αλλαγές στον υφιστάμενο σχεδιασμό της Ανταγωνιστικής Αγοράς Ηλεκτρισμού (ΑΑΗ) και προκειμένου να αποφευχθεί καθυστέρηση στην λειτουργία της ΑΑΗ, θα πρέπει να </w:t>
            </w:r>
            <w:r w:rsidR="001F71D0">
              <w:rPr>
                <w:sz w:val="22"/>
                <w:szCs w:val="22"/>
                <w:lang w:val="el-GR"/>
              </w:rPr>
              <w:t xml:space="preserve">δοθεί παράταση στην εφαρμογή του </w:t>
            </w:r>
            <w:r>
              <w:rPr>
                <w:sz w:val="22"/>
                <w:szCs w:val="22"/>
                <w:lang w:val="el-GR"/>
              </w:rPr>
              <w:t>για εύλογο χρονικό διάστημα</w:t>
            </w:r>
            <w:r w:rsidR="00BC45BA">
              <w:rPr>
                <w:sz w:val="22"/>
                <w:szCs w:val="22"/>
                <w:lang w:val="el-GR"/>
              </w:rPr>
              <w:t>,</w:t>
            </w:r>
            <w:r>
              <w:rPr>
                <w:sz w:val="22"/>
                <w:szCs w:val="22"/>
                <w:lang w:val="el-GR"/>
              </w:rPr>
              <w:t xml:space="preserve"> το οποίο θα επιτρέψει την αρχική λειτουργία της ΑΑΗ  με βάση  τον υφιστάμενο σχεδιασμό. Για να γίνουν οι τροποποιήσεις στο σχεδιασμό και για να καταστεί δυνατή η εφαρμογή του συγκεκριμένου άρθρου, εκτιμάται ότι θα απαιτηθ</w:t>
            </w:r>
            <w:r w:rsidR="00BC45BA">
              <w:rPr>
                <w:sz w:val="22"/>
                <w:szCs w:val="22"/>
                <w:lang w:val="el-GR"/>
              </w:rPr>
              <w:t>ούν</w:t>
            </w:r>
            <w:r>
              <w:rPr>
                <w:sz w:val="22"/>
                <w:szCs w:val="22"/>
                <w:lang w:val="el-GR"/>
              </w:rPr>
              <w:t xml:space="preserve"> 24 μήνες μετά την πλήρη λειτουργία της ΑΑΗ.</w:t>
            </w:r>
          </w:p>
        </w:tc>
        <w:tc>
          <w:tcPr>
            <w:tcW w:w="4209" w:type="dxa"/>
          </w:tcPr>
          <w:p w14:paraId="30F68B68" w14:textId="77777777" w:rsidR="00307A68" w:rsidRDefault="00307A68" w:rsidP="001F71D0">
            <w:pPr>
              <w:pStyle w:val="Default"/>
              <w:spacing w:line="276" w:lineRule="auto"/>
              <w:rPr>
                <w:sz w:val="22"/>
                <w:szCs w:val="22"/>
                <w:lang w:val="el-GR"/>
              </w:rPr>
            </w:pPr>
          </w:p>
          <w:p w14:paraId="6B98A1FA" w14:textId="77777777" w:rsidR="001F71D0" w:rsidRDefault="001F71D0" w:rsidP="001F71D0">
            <w:pPr>
              <w:pStyle w:val="Default"/>
              <w:spacing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Το συγκεκριμένο άρθρο καταργεί την προτεραιότητα στην κατανομή για τις εγκαταστάσεις ΑΠΕ με εγκατεστημένη ισχύ πάνω από 400 </w:t>
            </w:r>
            <w:r>
              <w:rPr>
                <w:sz w:val="22"/>
                <w:szCs w:val="22"/>
              </w:rPr>
              <w:t>KW</w:t>
            </w:r>
            <w:r w:rsidRPr="001F71D0">
              <w:rPr>
                <w:sz w:val="22"/>
                <w:szCs w:val="22"/>
                <w:lang w:val="el-GR"/>
              </w:rPr>
              <w:t xml:space="preserve"> (200 </w:t>
            </w:r>
            <w:r>
              <w:rPr>
                <w:sz w:val="22"/>
                <w:szCs w:val="22"/>
              </w:rPr>
              <w:t>KW</w:t>
            </w:r>
            <w:r w:rsidRPr="001F71D0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μετά το 2026) που τέθηκαν σε λειτουργία μετά την 4</w:t>
            </w:r>
            <w:r w:rsidRPr="001F71D0">
              <w:rPr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sz w:val="22"/>
                <w:szCs w:val="22"/>
                <w:lang w:val="el-GR"/>
              </w:rPr>
              <w:t xml:space="preserve"> Ιουλίου 2019.</w:t>
            </w:r>
          </w:p>
          <w:p w14:paraId="598ADDEB" w14:textId="77777777" w:rsidR="001F71D0" w:rsidRDefault="001F71D0" w:rsidP="001F71D0">
            <w:pPr>
              <w:pStyle w:val="Default"/>
              <w:spacing w:line="276" w:lineRule="auto"/>
              <w:rPr>
                <w:sz w:val="22"/>
                <w:szCs w:val="22"/>
                <w:lang w:val="el-GR"/>
              </w:rPr>
            </w:pPr>
          </w:p>
          <w:p w14:paraId="3F706201" w14:textId="3AAD7A6D" w:rsidR="001F71D0" w:rsidRDefault="001F71D0" w:rsidP="001F71D0">
            <w:pPr>
              <w:pStyle w:val="Default"/>
              <w:spacing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Η πρόνοια αυτή είναι σε αντίφαση με </w:t>
            </w:r>
            <w:r w:rsidR="002C4D86">
              <w:rPr>
                <w:sz w:val="22"/>
                <w:szCs w:val="22"/>
                <w:lang w:val="el-GR"/>
              </w:rPr>
              <w:t xml:space="preserve">τον υφιστάμενο σχεδιασμό της Αγοράς Ηλεκτρισμού όπως περιγράφεται στη Ρυθμιστική Απόφαση 01/2015 της ΡΑΕΚ, </w:t>
            </w:r>
            <w:r>
              <w:rPr>
                <w:sz w:val="22"/>
                <w:szCs w:val="22"/>
                <w:lang w:val="el-GR"/>
              </w:rPr>
              <w:t xml:space="preserve">τους Κανόνες Αγοράς Ηλεκτρισμού </w:t>
            </w:r>
            <w:r w:rsidR="002C4D86">
              <w:rPr>
                <w:sz w:val="22"/>
                <w:szCs w:val="22"/>
                <w:lang w:val="el-GR"/>
              </w:rPr>
              <w:t xml:space="preserve">και </w:t>
            </w:r>
            <w:r>
              <w:rPr>
                <w:sz w:val="22"/>
                <w:szCs w:val="22"/>
                <w:lang w:val="el-GR"/>
              </w:rPr>
              <w:t>τον σχεδιασμό του Λογισμικού Διαχείρισης της Αγοράς, όπου η προτεραιότητα στην κατανομή ισχύει για όλες τις εγκαταστάσεις ΑΠΕ.</w:t>
            </w:r>
          </w:p>
          <w:p w14:paraId="556C8DD7" w14:textId="77777777" w:rsidR="001F71D0" w:rsidRDefault="001F71D0" w:rsidP="001F71D0">
            <w:pPr>
              <w:pStyle w:val="Default"/>
              <w:spacing w:line="276" w:lineRule="auto"/>
              <w:rPr>
                <w:sz w:val="22"/>
                <w:szCs w:val="22"/>
                <w:lang w:val="el-GR"/>
              </w:rPr>
            </w:pPr>
          </w:p>
          <w:p w14:paraId="408A43E7" w14:textId="77777777" w:rsidR="002C4D86" w:rsidRDefault="002C4D86" w:rsidP="001F71D0">
            <w:pPr>
              <w:pStyle w:val="Default"/>
              <w:spacing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Επιπρόσθετα η δυνατότητα ρύθμισης της παραγωγής των εγκαταστάσεων ΑΠΕ απαιτείται προς το παρόν (βάσει ΚΜΔ και Συμβάσεων Σύνδεσης) μόνο από εγκαταστάσεις με εγκατεστημένη ισχύ πάνω από 500 </w:t>
            </w:r>
            <w:r>
              <w:rPr>
                <w:sz w:val="22"/>
                <w:szCs w:val="22"/>
              </w:rPr>
              <w:t>KW</w:t>
            </w:r>
            <w:r>
              <w:rPr>
                <w:sz w:val="22"/>
                <w:szCs w:val="22"/>
                <w:lang w:val="el-GR"/>
              </w:rPr>
              <w:t>.</w:t>
            </w:r>
          </w:p>
          <w:p w14:paraId="135BC3BF" w14:textId="77777777" w:rsidR="002C4D86" w:rsidRDefault="002C4D86" w:rsidP="001F71D0">
            <w:pPr>
              <w:pStyle w:val="Default"/>
              <w:spacing w:line="276" w:lineRule="auto"/>
              <w:rPr>
                <w:sz w:val="22"/>
                <w:szCs w:val="22"/>
                <w:lang w:val="el-GR"/>
              </w:rPr>
            </w:pPr>
          </w:p>
          <w:p w14:paraId="42712D29" w14:textId="2242B08E" w:rsidR="002C4D86" w:rsidRPr="002C4D86" w:rsidRDefault="002C4D86" w:rsidP="001F71D0">
            <w:pPr>
              <w:pStyle w:val="Default"/>
              <w:spacing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Με βάση τα πιο πάνω</w:t>
            </w:r>
            <w:r w:rsidR="00EB5762" w:rsidRPr="00EB5762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 xml:space="preserve"> οι πρόνοιες του συγκεκριμένου Άρθρου δεν είναι δυνατό </w:t>
            </w:r>
            <w:r>
              <w:rPr>
                <w:sz w:val="22"/>
                <w:szCs w:val="22"/>
                <w:lang w:val="el-GR"/>
              </w:rPr>
              <w:lastRenderedPageBreak/>
              <w:t>να εφαρμοστούν άμεσα καθώς</w:t>
            </w:r>
            <w:r w:rsidR="00EB5762" w:rsidRPr="00EB5762">
              <w:rPr>
                <w:sz w:val="22"/>
                <w:szCs w:val="22"/>
                <w:lang w:val="el-GR"/>
              </w:rPr>
              <w:t xml:space="preserve"> </w:t>
            </w:r>
            <w:r w:rsidR="00EB5762">
              <w:rPr>
                <w:sz w:val="22"/>
                <w:szCs w:val="22"/>
                <w:lang w:val="el-GR"/>
              </w:rPr>
              <w:t>πρέπει να προηγηθούν τα ακόλουθα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2C4D86">
              <w:rPr>
                <w:sz w:val="22"/>
                <w:szCs w:val="22"/>
                <w:lang w:val="el-GR"/>
              </w:rPr>
              <w:t>:</w:t>
            </w:r>
          </w:p>
          <w:p w14:paraId="0ADE4F45" w14:textId="59758635" w:rsidR="002C4D86" w:rsidRDefault="002523A1" w:rsidP="002523A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Τροποποίηση</w:t>
            </w:r>
            <w:r w:rsidR="002C4D86">
              <w:rPr>
                <w:sz w:val="22"/>
                <w:szCs w:val="22"/>
                <w:lang w:val="el-GR"/>
              </w:rPr>
              <w:t xml:space="preserve"> του σχεδια</w:t>
            </w:r>
            <w:r>
              <w:rPr>
                <w:sz w:val="22"/>
                <w:szCs w:val="22"/>
                <w:lang w:val="el-GR"/>
              </w:rPr>
              <w:t>σ</w:t>
            </w:r>
            <w:r w:rsidR="002C4D86">
              <w:rPr>
                <w:sz w:val="22"/>
                <w:szCs w:val="22"/>
                <w:lang w:val="el-GR"/>
              </w:rPr>
              <w:t>μού της Αγοράς Ηλεκτρι</w:t>
            </w:r>
            <w:r>
              <w:rPr>
                <w:sz w:val="22"/>
                <w:szCs w:val="22"/>
                <w:lang w:val="el-GR"/>
              </w:rPr>
              <w:t>σμ</w:t>
            </w:r>
            <w:r w:rsidR="002C4D86">
              <w:rPr>
                <w:sz w:val="22"/>
                <w:szCs w:val="22"/>
                <w:lang w:val="el-GR"/>
              </w:rPr>
              <w:t>ού</w:t>
            </w:r>
            <w:r w:rsidR="00EB5762">
              <w:rPr>
                <w:sz w:val="22"/>
                <w:szCs w:val="22"/>
                <w:lang w:val="el-GR"/>
              </w:rPr>
              <w:t xml:space="preserve"> η οποία περιγράφεται στην Ρυθμιστική Απόφαση 01/2015 της ΡΑΕΚ.</w:t>
            </w:r>
          </w:p>
          <w:p w14:paraId="0D93C796" w14:textId="77777777" w:rsidR="002C4D86" w:rsidRDefault="002C4D86" w:rsidP="002523A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Αναθεώρηση των Κανόνων Αγοράς Ηλεκτρισμού.</w:t>
            </w:r>
          </w:p>
          <w:p w14:paraId="795C7DD6" w14:textId="77777777" w:rsidR="002C4D86" w:rsidRDefault="002C4D86" w:rsidP="002523A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Τροποποίηση του Λογισμικού Διαχείρισης της Αγοράς.</w:t>
            </w:r>
          </w:p>
          <w:p w14:paraId="6C546B5B" w14:textId="1DBB35C4" w:rsidR="002523A1" w:rsidRPr="002523A1" w:rsidRDefault="002523A1" w:rsidP="002523A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Αναθεώρηση των ΚΜΔ για εισαγωγή απαίτησης</w:t>
            </w:r>
            <w:r w:rsidR="00732856">
              <w:rPr>
                <w:sz w:val="22"/>
                <w:szCs w:val="22"/>
                <w:lang w:val="el-GR"/>
              </w:rPr>
              <w:t xml:space="preserve"> από τους Παραγωγούς ΑΠΕ </w:t>
            </w:r>
            <w:r w:rsidR="00EB5762">
              <w:rPr>
                <w:sz w:val="22"/>
                <w:szCs w:val="22"/>
                <w:lang w:val="el-GR"/>
              </w:rPr>
              <w:t xml:space="preserve">για </w:t>
            </w:r>
            <w:r w:rsidR="00732856">
              <w:rPr>
                <w:sz w:val="22"/>
                <w:szCs w:val="22"/>
                <w:lang w:val="el-GR"/>
              </w:rPr>
              <w:t xml:space="preserve">παροχή τεχνικής </w:t>
            </w:r>
            <w:r w:rsidR="00BC45BA">
              <w:rPr>
                <w:sz w:val="22"/>
                <w:szCs w:val="22"/>
                <w:lang w:val="el-GR"/>
              </w:rPr>
              <w:t>δυνατότητας</w:t>
            </w:r>
            <w:r w:rsidR="0073285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 xml:space="preserve">ρύθμισης της παραγωγής σε όλες τις εγκαταστάσεις ΑΠΕ πέραν των 400 </w:t>
            </w:r>
            <w:r>
              <w:rPr>
                <w:sz w:val="22"/>
                <w:szCs w:val="22"/>
              </w:rPr>
              <w:t>KW</w:t>
            </w:r>
            <w:r>
              <w:rPr>
                <w:sz w:val="22"/>
                <w:szCs w:val="22"/>
                <w:lang w:val="el-GR"/>
              </w:rPr>
              <w:t>.</w:t>
            </w:r>
          </w:p>
          <w:p w14:paraId="7DA7828F" w14:textId="77777777" w:rsidR="002C4D86" w:rsidRDefault="002C4D86" w:rsidP="002523A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Εγκατάσταση συστημάτων ρύθμισης της παραγωγής σ</w:t>
            </w:r>
            <w:r w:rsidR="002523A1">
              <w:rPr>
                <w:sz w:val="22"/>
                <w:szCs w:val="22"/>
                <w:lang w:val="el-GR"/>
              </w:rPr>
              <w:t xml:space="preserve">ε όλες τις υφιστάμενες εγκαταστάσεις ΑΠΕ πέραν των 400 </w:t>
            </w:r>
            <w:r w:rsidR="002523A1">
              <w:rPr>
                <w:sz w:val="22"/>
                <w:szCs w:val="22"/>
              </w:rPr>
              <w:t>KW</w:t>
            </w:r>
          </w:p>
          <w:p w14:paraId="1E489592" w14:textId="77777777" w:rsidR="002C4D86" w:rsidRDefault="002C4D86" w:rsidP="001F71D0">
            <w:pPr>
              <w:pStyle w:val="Default"/>
              <w:spacing w:line="276" w:lineRule="auto"/>
              <w:rPr>
                <w:sz w:val="22"/>
                <w:szCs w:val="22"/>
                <w:lang w:val="el-GR"/>
              </w:rPr>
            </w:pPr>
          </w:p>
          <w:p w14:paraId="619ED1FC" w14:textId="77777777" w:rsidR="0062669F" w:rsidRPr="00370F72" w:rsidRDefault="0062669F" w:rsidP="00252E6C">
            <w:pPr>
              <w:pStyle w:val="Default"/>
              <w:spacing w:line="276" w:lineRule="auto"/>
              <w:rPr>
                <w:sz w:val="22"/>
                <w:szCs w:val="22"/>
                <w:lang w:val="el-GR"/>
              </w:rPr>
            </w:pPr>
          </w:p>
        </w:tc>
      </w:tr>
    </w:tbl>
    <w:p w14:paraId="5974B3F7" w14:textId="77777777" w:rsidR="0062669F" w:rsidRDefault="0062669F" w:rsidP="0062669F">
      <w:pPr>
        <w:rPr>
          <w:rFonts w:ascii="Arial" w:hAnsi="Arial" w:cs="Arial"/>
          <w:b/>
          <w:lang w:val="el-GR"/>
        </w:rPr>
      </w:pPr>
    </w:p>
    <w:p w14:paraId="6D28F43A" w14:textId="77777777" w:rsidR="0062669F" w:rsidRDefault="0062669F" w:rsidP="00453CB4">
      <w:pPr>
        <w:rPr>
          <w:rFonts w:ascii="Arial" w:hAnsi="Arial" w:cs="Arial"/>
          <w:b/>
          <w:lang w:val="el-GR"/>
        </w:rPr>
      </w:pPr>
    </w:p>
    <w:sectPr w:rsidR="0062669F" w:rsidSect="006D3862">
      <w:headerReference w:type="default" r:id="rId7"/>
      <w:footerReference w:type="default" r:id="rId8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C144" w14:textId="77777777" w:rsidR="006E399E" w:rsidRDefault="006E399E" w:rsidP="00D97391">
      <w:r>
        <w:separator/>
      </w:r>
    </w:p>
  </w:endnote>
  <w:endnote w:type="continuationSeparator" w:id="0">
    <w:p w14:paraId="7A7FB255" w14:textId="77777777" w:rsidR="006E399E" w:rsidRDefault="006E399E" w:rsidP="00D9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603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28598" w14:textId="471DEAC1" w:rsidR="00BB6E1E" w:rsidRDefault="00BB6E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41C40" w14:textId="77777777" w:rsidR="00BB6E1E" w:rsidRDefault="00BB6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E78D" w14:textId="77777777" w:rsidR="006E399E" w:rsidRDefault="006E399E" w:rsidP="00D97391">
      <w:r>
        <w:separator/>
      </w:r>
    </w:p>
  </w:footnote>
  <w:footnote w:type="continuationSeparator" w:id="0">
    <w:p w14:paraId="7EF4D3E9" w14:textId="77777777" w:rsidR="006E399E" w:rsidRDefault="006E399E" w:rsidP="00D9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8D9B" w14:textId="7A53D594" w:rsidR="00307A68" w:rsidRPr="00603E39" w:rsidRDefault="00307A68" w:rsidP="00D97391">
    <w:pPr>
      <w:jc w:val="center"/>
      <w:rPr>
        <w:rFonts w:ascii="Arial" w:hAnsi="Arial" w:cs="Arial"/>
        <w:b/>
        <w:sz w:val="22"/>
        <w:szCs w:val="22"/>
        <w:lang w:val="el-GR"/>
      </w:rPr>
    </w:pP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</w:r>
    <w:r w:rsidRPr="00603E39">
      <w:rPr>
        <w:rFonts w:ascii="Arial" w:hAnsi="Arial" w:cs="Arial"/>
        <w:b/>
        <w:sz w:val="22"/>
        <w:szCs w:val="22"/>
        <w:lang w:val="el-GR"/>
      </w:rPr>
      <w:tab/>
      <w:t>«Συνημμένο 1»</w:t>
    </w:r>
  </w:p>
  <w:p w14:paraId="5CD171B6" w14:textId="77777777" w:rsidR="00307A68" w:rsidRDefault="00307A68" w:rsidP="00D97391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</w:p>
  <w:p w14:paraId="181F64B7" w14:textId="62D9EF76" w:rsidR="005306F5" w:rsidRPr="00307A68" w:rsidRDefault="00C73D2D" w:rsidP="00D97391">
    <w:pPr>
      <w:jc w:val="center"/>
      <w:rPr>
        <w:rFonts w:ascii="Arial" w:hAnsi="Arial" w:cs="Arial"/>
        <w:sz w:val="22"/>
        <w:szCs w:val="22"/>
        <w:lang w:val="el-GR"/>
      </w:rPr>
    </w:pPr>
    <w:r>
      <w:rPr>
        <w:rFonts w:ascii="Arial" w:hAnsi="Arial" w:cs="Arial"/>
        <w:b/>
        <w:sz w:val="22"/>
        <w:szCs w:val="22"/>
        <w:u w:val="single"/>
        <w:lang w:val="el-GR"/>
      </w:rPr>
      <w:t>ΠΙΝΑΚΑΣ</w:t>
    </w:r>
    <w:r w:rsidR="005306F5" w:rsidRPr="00545F75">
      <w:rPr>
        <w:rFonts w:ascii="Arial" w:hAnsi="Arial" w:cs="Arial"/>
        <w:b/>
        <w:sz w:val="22"/>
        <w:szCs w:val="22"/>
        <w:u w:val="single"/>
        <w:lang w:val="el-GR"/>
      </w:rPr>
      <w:t xml:space="preserve"> </w:t>
    </w:r>
    <w:r w:rsidR="00603E39">
      <w:rPr>
        <w:rFonts w:ascii="Arial" w:hAnsi="Arial" w:cs="Arial"/>
        <w:b/>
        <w:sz w:val="22"/>
        <w:szCs w:val="22"/>
        <w:u w:val="single"/>
        <w:lang w:val="el-GR"/>
      </w:rPr>
      <w:t>ΑΠΟΨΕΩΝ/ΘΕΣΕΩΝ</w:t>
    </w:r>
    <w:r w:rsidRPr="0062669F">
      <w:rPr>
        <w:rFonts w:ascii="Arial" w:hAnsi="Arial" w:cs="Arial"/>
        <w:b/>
        <w:sz w:val="22"/>
        <w:szCs w:val="22"/>
        <w:u w:val="single"/>
        <w:lang w:val="el-GR"/>
      </w:rPr>
      <w:t xml:space="preserve"> </w:t>
    </w:r>
    <w:r>
      <w:rPr>
        <w:rFonts w:ascii="Arial" w:hAnsi="Arial" w:cs="Arial"/>
        <w:b/>
        <w:sz w:val="22"/>
        <w:szCs w:val="22"/>
        <w:u w:val="single"/>
        <w:lang w:val="el-GR"/>
      </w:rPr>
      <w:t>ΔΣΜΚ</w:t>
    </w:r>
  </w:p>
  <w:p w14:paraId="076778E8" w14:textId="77777777" w:rsidR="00C73D2D" w:rsidRDefault="00C73D2D" w:rsidP="00D97391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  <w:r>
      <w:rPr>
        <w:rFonts w:ascii="Arial" w:hAnsi="Arial" w:cs="Arial"/>
        <w:b/>
        <w:sz w:val="22"/>
        <w:szCs w:val="22"/>
        <w:u w:val="single"/>
        <w:lang w:val="el-GR"/>
      </w:rPr>
      <w:t xml:space="preserve">Προς : Κοινοβουλευτική Επιτροπή Ενέργειας, Εμπορίου Βιομηχανίας και Τουρισμού </w:t>
    </w:r>
  </w:p>
  <w:p w14:paraId="27960724" w14:textId="77777777" w:rsidR="005306F5" w:rsidRPr="00C63DED" w:rsidRDefault="005306F5" w:rsidP="00D97391">
    <w:pPr>
      <w:jc w:val="center"/>
      <w:rPr>
        <w:rFonts w:asciiTheme="minorHAnsi" w:hAnsiTheme="minorHAnsi" w:cs="Arial"/>
        <w:b/>
        <w:sz w:val="22"/>
        <w:szCs w:val="22"/>
        <w:u w:val="single"/>
        <w:lang w:val="el-GR"/>
      </w:rPr>
    </w:pPr>
  </w:p>
  <w:p w14:paraId="419CC605" w14:textId="77777777" w:rsidR="005306F5" w:rsidRPr="00C73D2D" w:rsidRDefault="005306F5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CC6"/>
    <w:multiLevelType w:val="hybridMultilevel"/>
    <w:tmpl w:val="16DEB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B4"/>
    <w:rsid w:val="0002425E"/>
    <w:rsid w:val="00055BB4"/>
    <w:rsid w:val="00064261"/>
    <w:rsid w:val="000726D6"/>
    <w:rsid w:val="000B658A"/>
    <w:rsid w:val="000B6FE6"/>
    <w:rsid w:val="000E45B1"/>
    <w:rsid w:val="000F58F7"/>
    <w:rsid w:val="000F7344"/>
    <w:rsid w:val="001140DD"/>
    <w:rsid w:val="00150354"/>
    <w:rsid w:val="00154BF0"/>
    <w:rsid w:val="00160092"/>
    <w:rsid w:val="001818DF"/>
    <w:rsid w:val="001A068E"/>
    <w:rsid w:val="001C3A16"/>
    <w:rsid w:val="001D6B4E"/>
    <w:rsid w:val="001F273C"/>
    <w:rsid w:val="001F71D0"/>
    <w:rsid w:val="00204B61"/>
    <w:rsid w:val="00217C39"/>
    <w:rsid w:val="00217E6C"/>
    <w:rsid w:val="002467DD"/>
    <w:rsid w:val="002523A1"/>
    <w:rsid w:val="00252B7F"/>
    <w:rsid w:val="00256207"/>
    <w:rsid w:val="0027560E"/>
    <w:rsid w:val="00281CD7"/>
    <w:rsid w:val="00292E42"/>
    <w:rsid w:val="00297361"/>
    <w:rsid w:val="002C4D86"/>
    <w:rsid w:val="002C6C7D"/>
    <w:rsid w:val="00307A68"/>
    <w:rsid w:val="003237A0"/>
    <w:rsid w:val="0032718F"/>
    <w:rsid w:val="003335BA"/>
    <w:rsid w:val="00336E83"/>
    <w:rsid w:val="00346217"/>
    <w:rsid w:val="00350B2D"/>
    <w:rsid w:val="00362D8F"/>
    <w:rsid w:val="003745C9"/>
    <w:rsid w:val="00394DD7"/>
    <w:rsid w:val="003A7AD1"/>
    <w:rsid w:val="003B6E36"/>
    <w:rsid w:val="003C0784"/>
    <w:rsid w:val="003C3B2A"/>
    <w:rsid w:val="003D2BB7"/>
    <w:rsid w:val="003D409F"/>
    <w:rsid w:val="00402838"/>
    <w:rsid w:val="0040290A"/>
    <w:rsid w:val="00445512"/>
    <w:rsid w:val="00453CB4"/>
    <w:rsid w:val="004641CF"/>
    <w:rsid w:val="004656E7"/>
    <w:rsid w:val="00472D21"/>
    <w:rsid w:val="00476AA6"/>
    <w:rsid w:val="00495239"/>
    <w:rsid w:val="004C7639"/>
    <w:rsid w:val="004D6FBD"/>
    <w:rsid w:val="004E35C1"/>
    <w:rsid w:val="004F5C86"/>
    <w:rsid w:val="005306F5"/>
    <w:rsid w:val="00545F75"/>
    <w:rsid w:val="00555B3D"/>
    <w:rsid w:val="00560AF6"/>
    <w:rsid w:val="0056139B"/>
    <w:rsid w:val="00561D66"/>
    <w:rsid w:val="00570B64"/>
    <w:rsid w:val="005876FA"/>
    <w:rsid w:val="00591CC1"/>
    <w:rsid w:val="005A038B"/>
    <w:rsid w:val="005A4D7B"/>
    <w:rsid w:val="005A5F13"/>
    <w:rsid w:val="005C4FC8"/>
    <w:rsid w:val="005D0970"/>
    <w:rsid w:val="005D5EBD"/>
    <w:rsid w:val="005E22AC"/>
    <w:rsid w:val="005F18EB"/>
    <w:rsid w:val="00603E39"/>
    <w:rsid w:val="00614601"/>
    <w:rsid w:val="006208D7"/>
    <w:rsid w:val="006243BE"/>
    <w:rsid w:val="0062669F"/>
    <w:rsid w:val="006376AD"/>
    <w:rsid w:val="00657293"/>
    <w:rsid w:val="006607EC"/>
    <w:rsid w:val="006678CB"/>
    <w:rsid w:val="00672C0A"/>
    <w:rsid w:val="006816C0"/>
    <w:rsid w:val="00693592"/>
    <w:rsid w:val="006A54F2"/>
    <w:rsid w:val="006B274A"/>
    <w:rsid w:val="006B47C8"/>
    <w:rsid w:val="006D3862"/>
    <w:rsid w:val="006E0170"/>
    <w:rsid w:val="006E399E"/>
    <w:rsid w:val="00702786"/>
    <w:rsid w:val="007055DB"/>
    <w:rsid w:val="00716D6A"/>
    <w:rsid w:val="007245E1"/>
    <w:rsid w:val="0072547A"/>
    <w:rsid w:val="00732856"/>
    <w:rsid w:val="00737C85"/>
    <w:rsid w:val="007746CD"/>
    <w:rsid w:val="007D1625"/>
    <w:rsid w:val="007E616F"/>
    <w:rsid w:val="007F5874"/>
    <w:rsid w:val="008002CD"/>
    <w:rsid w:val="00815DF7"/>
    <w:rsid w:val="00830B5D"/>
    <w:rsid w:val="00850A18"/>
    <w:rsid w:val="00850A8C"/>
    <w:rsid w:val="00851BF5"/>
    <w:rsid w:val="00854509"/>
    <w:rsid w:val="00862D20"/>
    <w:rsid w:val="00871A54"/>
    <w:rsid w:val="00880020"/>
    <w:rsid w:val="00884E45"/>
    <w:rsid w:val="00892235"/>
    <w:rsid w:val="008A2ED6"/>
    <w:rsid w:val="008A4FA4"/>
    <w:rsid w:val="008A79EE"/>
    <w:rsid w:val="00906F0D"/>
    <w:rsid w:val="009171F5"/>
    <w:rsid w:val="009271B7"/>
    <w:rsid w:val="00951731"/>
    <w:rsid w:val="00957B1B"/>
    <w:rsid w:val="00966D24"/>
    <w:rsid w:val="009675C0"/>
    <w:rsid w:val="00974F14"/>
    <w:rsid w:val="00976F92"/>
    <w:rsid w:val="0098051B"/>
    <w:rsid w:val="00983823"/>
    <w:rsid w:val="00991C95"/>
    <w:rsid w:val="009D0A40"/>
    <w:rsid w:val="009D1214"/>
    <w:rsid w:val="009E1EEE"/>
    <w:rsid w:val="009F2075"/>
    <w:rsid w:val="00A33B1B"/>
    <w:rsid w:val="00A51C80"/>
    <w:rsid w:val="00A73F1C"/>
    <w:rsid w:val="00A85C51"/>
    <w:rsid w:val="00A9169F"/>
    <w:rsid w:val="00A91AA9"/>
    <w:rsid w:val="00A92FE7"/>
    <w:rsid w:val="00AD46A1"/>
    <w:rsid w:val="00AE08DE"/>
    <w:rsid w:val="00AF0F7E"/>
    <w:rsid w:val="00B05021"/>
    <w:rsid w:val="00B05CB7"/>
    <w:rsid w:val="00B344E1"/>
    <w:rsid w:val="00B60D48"/>
    <w:rsid w:val="00B820C2"/>
    <w:rsid w:val="00B90EE1"/>
    <w:rsid w:val="00BB1BE7"/>
    <w:rsid w:val="00BB6E1E"/>
    <w:rsid w:val="00BB7842"/>
    <w:rsid w:val="00BC1374"/>
    <w:rsid w:val="00BC4062"/>
    <w:rsid w:val="00BC45BA"/>
    <w:rsid w:val="00BE7B96"/>
    <w:rsid w:val="00C26B99"/>
    <w:rsid w:val="00C3506B"/>
    <w:rsid w:val="00C44F79"/>
    <w:rsid w:val="00C45FA5"/>
    <w:rsid w:val="00C45FC3"/>
    <w:rsid w:val="00C60F0F"/>
    <w:rsid w:val="00C63DED"/>
    <w:rsid w:val="00C73D2D"/>
    <w:rsid w:val="00CA601C"/>
    <w:rsid w:val="00CD41EC"/>
    <w:rsid w:val="00CE353C"/>
    <w:rsid w:val="00D00CA6"/>
    <w:rsid w:val="00D1395D"/>
    <w:rsid w:val="00D154B4"/>
    <w:rsid w:val="00D16CA7"/>
    <w:rsid w:val="00D253B1"/>
    <w:rsid w:val="00D363C5"/>
    <w:rsid w:val="00D43A48"/>
    <w:rsid w:val="00D62584"/>
    <w:rsid w:val="00D62AB4"/>
    <w:rsid w:val="00D96952"/>
    <w:rsid w:val="00D97391"/>
    <w:rsid w:val="00DA482E"/>
    <w:rsid w:val="00DD7F76"/>
    <w:rsid w:val="00E06BF6"/>
    <w:rsid w:val="00E0749E"/>
    <w:rsid w:val="00E2628E"/>
    <w:rsid w:val="00E27759"/>
    <w:rsid w:val="00E34ACE"/>
    <w:rsid w:val="00E448C2"/>
    <w:rsid w:val="00E6624D"/>
    <w:rsid w:val="00E66B1C"/>
    <w:rsid w:val="00E70663"/>
    <w:rsid w:val="00E95C7A"/>
    <w:rsid w:val="00EB1A53"/>
    <w:rsid w:val="00EB5762"/>
    <w:rsid w:val="00EC6A1D"/>
    <w:rsid w:val="00ED3611"/>
    <w:rsid w:val="00F06DAD"/>
    <w:rsid w:val="00F97286"/>
    <w:rsid w:val="00FA58C3"/>
    <w:rsid w:val="00FB46AB"/>
    <w:rsid w:val="00FC3425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C6F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CB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0749E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92235"/>
    <w:rPr>
      <w:rFonts w:ascii="Times New Roman" w:hAnsi="Times New Roman" w:cs="Times New Roman"/>
      <w:sz w:val="2"/>
    </w:rPr>
  </w:style>
  <w:style w:type="character" w:customStyle="1" w:styleId="EmailStyle17">
    <w:name w:val="EmailStyle17"/>
    <w:basedOn w:val="DefaultParagraphFont"/>
    <w:semiHidden/>
    <w:rsid w:val="00453CB4"/>
    <w:rPr>
      <w:rFonts w:ascii="Arial" w:hAnsi="Arial" w:cs="Arial"/>
      <w:color w:val="000080"/>
      <w:sz w:val="20"/>
      <w:szCs w:val="20"/>
      <w:lang w:val="pl-PL" w:eastAsia="pl-PL" w:bidi="ar-SA"/>
    </w:rPr>
  </w:style>
  <w:style w:type="paragraph" w:styleId="Header">
    <w:name w:val="header"/>
    <w:basedOn w:val="Normal"/>
    <w:link w:val="HeaderChar"/>
    <w:semiHidden/>
    <w:rsid w:val="00D97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973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7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739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84E4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884E4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884E45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C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624D"/>
    <w:rPr>
      <w:color w:val="605E5C"/>
      <w:shd w:val="clear" w:color="auto" w:fill="E1DFDD"/>
    </w:rPr>
  </w:style>
  <w:style w:type="paragraph" w:customStyle="1" w:styleId="Default">
    <w:name w:val="Default"/>
    <w:rsid w:val="00AD46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69F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</CharactersWithSpaces>
  <SharedDoc>false</SharedDoc>
  <HLinks>
    <vt:vector size="12" baseType="variant">
      <vt:variant>
        <vt:i4>3539022</vt:i4>
      </vt:variant>
      <vt:variant>
        <vt:i4>3</vt:i4>
      </vt:variant>
      <vt:variant>
        <vt:i4>0</vt:i4>
      </vt:variant>
      <vt:variant>
        <vt:i4>5</vt:i4>
      </vt:variant>
      <vt:variant>
        <vt:lpwstr>mailto:kpiripitsi@mcit.gov.cy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mailto:ellinopoulosenergy@gmail.com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2021-07-13T04:33:00Z</dcterms:created>
  <dcterms:modified xsi:type="dcterms:W3CDTF">2021-07-13T04:33:00Z</dcterms:modified>
</cp:coreProperties>
</file>