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7539" w14:textId="77777777" w:rsidR="00991064" w:rsidRDefault="007B4842">
      <w:pPr>
        <w:spacing w:line="360" w:lineRule="auto"/>
        <w:jc w:val="center"/>
        <w:rPr>
          <w:rFonts w:cs="Arial"/>
          <w:b/>
          <w:szCs w:val="24"/>
        </w:rPr>
      </w:pPr>
      <w:r>
        <w:rPr>
          <w:rFonts w:cs="Arial"/>
          <w:b/>
          <w:szCs w:val="24"/>
        </w:rPr>
        <w:t xml:space="preserve">ΝΟΜΟΣ ΠΟΥ ΤΡΟΠΟΠΟΙΕΙ ΤΟΥΣ ΠΕΡΙ ΦΟΡΟΥ ΠΡΟΣΤΙΘΕΜΕΝΗΣ ΑΞΙΑΣ </w:t>
      </w:r>
    </w:p>
    <w:p w14:paraId="5498FC53" w14:textId="77777777" w:rsidR="00991064" w:rsidRDefault="007B4842">
      <w:pPr>
        <w:spacing w:line="360" w:lineRule="auto"/>
        <w:jc w:val="center"/>
      </w:pPr>
      <w:r>
        <w:rPr>
          <w:rFonts w:cs="Arial"/>
          <w:b/>
          <w:szCs w:val="24"/>
        </w:rPr>
        <w:t>ΝΟΜΟΥΣ ΤΟΥ 2000 ΜΕΧΡΙ (ΑΡ. 4) ΤΟΥ 2021</w:t>
      </w:r>
    </w:p>
    <w:p w14:paraId="0C14D64B" w14:textId="77777777" w:rsidR="00991064" w:rsidRDefault="00991064">
      <w:pPr>
        <w:spacing w:line="360" w:lineRule="auto"/>
        <w:jc w:val="center"/>
        <w:rPr>
          <w:rFonts w:cs="Arial"/>
          <w:b/>
          <w:szCs w:val="24"/>
          <w:u w:val="single"/>
        </w:rPr>
      </w:pPr>
    </w:p>
    <w:tbl>
      <w:tblPr>
        <w:tblW w:w="9300" w:type="dxa"/>
        <w:tblInd w:w="198" w:type="dxa"/>
        <w:tblLayout w:type="fixed"/>
        <w:tblCellMar>
          <w:left w:w="10" w:type="dxa"/>
          <w:right w:w="10" w:type="dxa"/>
        </w:tblCellMar>
        <w:tblLook w:val="04A0" w:firstRow="1" w:lastRow="0" w:firstColumn="1" w:lastColumn="0" w:noHBand="0" w:noVBand="1"/>
      </w:tblPr>
      <w:tblGrid>
        <w:gridCol w:w="1808"/>
        <w:gridCol w:w="7492"/>
      </w:tblGrid>
      <w:tr w:rsidR="00991064" w14:paraId="2F4F1A60"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166DC26E" w14:textId="77777777" w:rsidR="00991064" w:rsidRDefault="00991064">
            <w:pPr>
              <w:spacing w:line="360" w:lineRule="auto"/>
              <w:rPr>
                <w:rFonts w:cs="Arial"/>
                <w:szCs w:val="24"/>
              </w:rPr>
            </w:pPr>
          </w:p>
        </w:tc>
        <w:tc>
          <w:tcPr>
            <w:tcW w:w="7492" w:type="dxa"/>
            <w:shd w:val="clear" w:color="auto" w:fill="auto"/>
            <w:tcMar>
              <w:top w:w="0" w:type="dxa"/>
              <w:left w:w="108" w:type="dxa"/>
              <w:bottom w:w="0" w:type="dxa"/>
              <w:right w:w="108" w:type="dxa"/>
            </w:tcMar>
          </w:tcPr>
          <w:p w14:paraId="0BC8BEDF" w14:textId="77777777" w:rsidR="00991064" w:rsidRDefault="00991064">
            <w:pPr>
              <w:spacing w:line="360" w:lineRule="auto"/>
              <w:jc w:val="both"/>
              <w:rPr>
                <w:rFonts w:cs="Arial"/>
                <w:szCs w:val="24"/>
              </w:rPr>
            </w:pPr>
          </w:p>
        </w:tc>
      </w:tr>
      <w:tr w:rsidR="00991064" w14:paraId="49034EAB"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08B3928B" w14:textId="77777777" w:rsidR="00991064" w:rsidRDefault="00991064">
            <w:pPr>
              <w:spacing w:line="360" w:lineRule="auto"/>
              <w:rPr>
                <w:rFonts w:cs="Arial"/>
                <w:szCs w:val="24"/>
              </w:rPr>
            </w:pPr>
          </w:p>
        </w:tc>
        <w:tc>
          <w:tcPr>
            <w:tcW w:w="7492" w:type="dxa"/>
            <w:shd w:val="clear" w:color="auto" w:fill="auto"/>
            <w:tcMar>
              <w:top w:w="0" w:type="dxa"/>
              <w:left w:w="108" w:type="dxa"/>
              <w:bottom w:w="0" w:type="dxa"/>
              <w:right w:w="108" w:type="dxa"/>
            </w:tcMar>
          </w:tcPr>
          <w:p w14:paraId="6C09A4C7" w14:textId="77777777" w:rsidR="00991064" w:rsidRDefault="007B4842">
            <w:pPr>
              <w:spacing w:line="360" w:lineRule="auto"/>
              <w:jc w:val="both"/>
              <w:rPr>
                <w:rFonts w:cs="Arial"/>
                <w:szCs w:val="24"/>
              </w:rPr>
            </w:pPr>
            <w:r>
              <w:rPr>
                <w:rFonts w:cs="Arial"/>
                <w:szCs w:val="24"/>
              </w:rPr>
              <w:t>Η Βουλή των Αντιπροσώπων ψηφίζει ως ακολούθως:</w:t>
            </w:r>
          </w:p>
        </w:tc>
      </w:tr>
      <w:tr w:rsidR="00991064" w14:paraId="2F793D7E"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1EEDD103" w14:textId="77777777" w:rsidR="00991064" w:rsidRDefault="00991064">
            <w:pPr>
              <w:spacing w:line="360" w:lineRule="auto"/>
              <w:rPr>
                <w:rFonts w:cs="Arial"/>
                <w:szCs w:val="24"/>
              </w:rPr>
            </w:pPr>
          </w:p>
        </w:tc>
        <w:tc>
          <w:tcPr>
            <w:tcW w:w="7492" w:type="dxa"/>
            <w:shd w:val="clear" w:color="auto" w:fill="auto"/>
            <w:tcMar>
              <w:top w:w="0" w:type="dxa"/>
              <w:left w:w="108" w:type="dxa"/>
              <w:bottom w:w="0" w:type="dxa"/>
              <w:right w:w="108" w:type="dxa"/>
            </w:tcMar>
          </w:tcPr>
          <w:p w14:paraId="2478203B" w14:textId="77777777" w:rsidR="00991064" w:rsidRDefault="00991064">
            <w:pPr>
              <w:spacing w:line="360" w:lineRule="auto"/>
              <w:jc w:val="both"/>
              <w:rPr>
                <w:rFonts w:cs="Arial"/>
                <w:szCs w:val="24"/>
              </w:rPr>
            </w:pPr>
          </w:p>
        </w:tc>
      </w:tr>
      <w:tr w:rsidR="00991064" w14:paraId="58F5448E"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5938DE3E" w14:textId="77777777" w:rsidR="00991064" w:rsidRDefault="007B4842">
            <w:pPr>
              <w:pStyle w:val="BodyTextIndent2"/>
              <w:tabs>
                <w:tab w:val="left" w:pos="0"/>
                <w:tab w:val="left" w:pos="374"/>
              </w:tabs>
              <w:spacing w:line="360" w:lineRule="auto"/>
              <w:ind w:left="0" w:firstLine="0"/>
              <w:rPr>
                <w:rFonts w:cs="Arial"/>
                <w:sz w:val="20"/>
                <w:szCs w:val="20"/>
              </w:rPr>
            </w:pPr>
            <w:r>
              <w:rPr>
                <w:rFonts w:cs="Arial"/>
                <w:sz w:val="20"/>
                <w:szCs w:val="20"/>
              </w:rPr>
              <w:t xml:space="preserve">Συνοπτικός </w:t>
            </w:r>
          </w:p>
          <w:p w14:paraId="75B2D7B2" w14:textId="77777777" w:rsidR="00991064" w:rsidRDefault="007B4842">
            <w:pPr>
              <w:pStyle w:val="BodyTextIndent2"/>
              <w:tabs>
                <w:tab w:val="left" w:pos="0"/>
              </w:tabs>
              <w:spacing w:line="360" w:lineRule="auto"/>
              <w:ind w:left="0" w:firstLine="0"/>
              <w:rPr>
                <w:rFonts w:cs="Arial"/>
                <w:sz w:val="20"/>
                <w:szCs w:val="20"/>
              </w:rPr>
            </w:pPr>
            <w:r>
              <w:rPr>
                <w:rFonts w:cs="Arial"/>
                <w:sz w:val="20"/>
                <w:szCs w:val="20"/>
              </w:rPr>
              <w:t>τίτλος.</w:t>
            </w:r>
          </w:p>
          <w:p w14:paraId="6909CC6F"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 xml:space="preserve">   95(Ι) του 2000</w:t>
            </w:r>
          </w:p>
          <w:p w14:paraId="37F4B96F"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 xml:space="preserve">93(Ι) του 2002          </w:t>
            </w:r>
          </w:p>
          <w:p w14:paraId="427A9B82" w14:textId="77777777" w:rsidR="00991064" w:rsidRDefault="007B4842">
            <w:pPr>
              <w:pStyle w:val="BodyTextIndent2"/>
              <w:tabs>
                <w:tab w:val="left" w:pos="0"/>
                <w:tab w:val="left" w:pos="374"/>
              </w:tabs>
              <w:spacing w:line="360" w:lineRule="auto"/>
              <w:ind w:left="0" w:firstLine="0"/>
              <w:jc w:val="right"/>
            </w:pPr>
            <w:r>
              <w:rPr>
                <w:rFonts w:cs="Arial"/>
                <w:sz w:val="20"/>
                <w:szCs w:val="20"/>
              </w:rPr>
              <w:t>27(</w:t>
            </w:r>
            <w:r>
              <w:rPr>
                <w:rFonts w:cs="Arial"/>
                <w:sz w:val="20"/>
                <w:szCs w:val="20"/>
                <w:lang w:val="en-US"/>
              </w:rPr>
              <w:t>I</w:t>
            </w:r>
            <w:r>
              <w:rPr>
                <w:rFonts w:cs="Arial"/>
                <w:sz w:val="20"/>
                <w:szCs w:val="20"/>
              </w:rPr>
              <w:t>) του 2003</w:t>
            </w:r>
          </w:p>
          <w:p w14:paraId="74ACAF4D"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172(Ι) του 2003</w:t>
            </w:r>
          </w:p>
          <w:p w14:paraId="1FCE1E73"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95(Ι) του 2004</w:t>
            </w:r>
          </w:p>
          <w:p w14:paraId="4172F6D2"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88(Ι) του 2005</w:t>
            </w:r>
          </w:p>
          <w:p w14:paraId="7273B658" w14:textId="77777777" w:rsidR="00991064" w:rsidRDefault="007B4842">
            <w:pPr>
              <w:pStyle w:val="BodyTextIndent2"/>
              <w:tabs>
                <w:tab w:val="left" w:pos="0"/>
              </w:tabs>
              <w:spacing w:line="360" w:lineRule="auto"/>
              <w:ind w:left="0" w:firstLine="0"/>
              <w:jc w:val="right"/>
              <w:rPr>
                <w:rFonts w:cs="Arial"/>
                <w:sz w:val="20"/>
                <w:szCs w:val="20"/>
              </w:rPr>
            </w:pPr>
            <w:r>
              <w:rPr>
                <w:rFonts w:cs="Arial"/>
                <w:sz w:val="20"/>
                <w:szCs w:val="20"/>
              </w:rPr>
              <w:t>100(Ι) του 2005</w:t>
            </w:r>
          </w:p>
          <w:p w14:paraId="5C2748ED"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131(Ι) του 2005</w:t>
            </w:r>
          </w:p>
          <w:p w14:paraId="6A2588C8"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148(Ι) του 2005</w:t>
            </w:r>
          </w:p>
          <w:p w14:paraId="3CFD54F2"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 xml:space="preserve"> 64(Ι) του 2006</w:t>
            </w:r>
          </w:p>
          <w:p w14:paraId="5DB09E28"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86(Ι) του 2006</w:t>
            </w:r>
          </w:p>
          <w:p w14:paraId="5BB040FE"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87(Ι) του 2006</w:t>
            </w:r>
          </w:p>
          <w:p w14:paraId="13BA2FA9"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48(Ι) του 2007</w:t>
            </w:r>
          </w:p>
          <w:p w14:paraId="68C322A2" w14:textId="77777777" w:rsidR="00991064" w:rsidRDefault="007B4842">
            <w:pPr>
              <w:spacing w:line="360" w:lineRule="auto"/>
              <w:jc w:val="right"/>
              <w:rPr>
                <w:rFonts w:cs="Arial"/>
                <w:sz w:val="20"/>
              </w:rPr>
            </w:pPr>
            <w:r>
              <w:rPr>
                <w:rFonts w:cs="Arial"/>
                <w:sz w:val="20"/>
              </w:rPr>
              <w:t>129(Ι) του 2007</w:t>
            </w:r>
          </w:p>
          <w:p w14:paraId="2114A28E" w14:textId="77777777" w:rsidR="00991064" w:rsidRDefault="007B4842">
            <w:pPr>
              <w:spacing w:line="360" w:lineRule="auto"/>
              <w:jc w:val="right"/>
              <w:rPr>
                <w:rFonts w:cs="Arial"/>
                <w:sz w:val="20"/>
              </w:rPr>
            </w:pPr>
            <w:r>
              <w:rPr>
                <w:rFonts w:cs="Arial"/>
                <w:sz w:val="20"/>
              </w:rPr>
              <w:t>141(Ι) του 2007</w:t>
            </w:r>
          </w:p>
          <w:p w14:paraId="2FACE52C" w14:textId="77777777" w:rsidR="00991064" w:rsidRDefault="007B4842">
            <w:pPr>
              <w:spacing w:line="360" w:lineRule="auto"/>
              <w:jc w:val="right"/>
              <w:rPr>
                <w:rFonts w:cs="Arial"/>
                <w:sz w:val="20"/>
              </w:rPr>
            </w:pPr>
            <w:r>
              <w:rPr>
                <w:rFonts w:cs="Arial"/>
                <w:sz w:val="20"/>
              </w:rPr>
              <w:t>142(Ι) του 2007</w:t>
            </w:r>
          </w:p>
          <w:p w14:paraId="16E09CAF" w14:textId="77777777" w:rsidR="00991064" w:rsidRDefault="007B4842">
            <w:pPr>
              <w:spacing w:line="360" w:lineRule="auto"/>
              <w:jc w:val="right"/>
              <w:rPr>
                <w:rFonts w:cs="Arial"/>
                <w:sz w:val="20"/>
              </w:rPr>
            </w:pPr>
            <w:r>
              <w:rPr>
                <w:rFonts w:cs="Arial"/>
                <w:sz w:val="20"/>
              </w:rPr>
              <w:t>143(Ι) του 2007</w:t>
            </w:r>
          </w:p>
          <w:p w14:paraId="41E794EE" w14:textId="77777777" w:rsidR="00991064" w:rsidRDefault="007B4842">
            <w:pPr>
              <w:spacing w:line="360" w:lineRule="auto"/>
              <w:jc w:val="right"/>
              <w:rPr>
                <w:rFonts w:cs="Arial"/>
                <w:sz w:val="20"/>
              </w:rPr>
            </w:pPr>
            <w:r>
              <w:rPr>
                <w:rFonts w:cs="Arial"/>
                <w:sz w:val="20"/>
              </w:rPr>
              <w:t>25(Ι) του 2008</w:t>
            </w:r>
          </w:p>
          <w:p w14:paraId="6C494081" w14:textId="77777777" w:rsidR="00991064" w:rsidRDefault="007B4842">
            <w:pPr>
              <w:spacing w:line="360" w:lineRule="auto"/>
              <w:jc w:val="right"/>
              <w:rPr>
                <w:rFonts w:cs="Arial"/>
                <w:sz w:val="20"/>
              </w:rPr>
            </w:pPr>
            <w:r>
              <w:rPr>
                <w:rFonts w:cs="Arial"/>
                <w:sz w:val="20"/>
              </w:rPr>
              <w:t>37(Ι) του 2008</w:t>
            </w:r>
          </w:p>
          <w:p w14:paraId="513C9118" w14:textId="77777777" w:rsidR="00991064" w:rsidRDefault="007B4842">
            <w:pPr>
              <w:spacing w:line="360" w:lineRule="auto"/>
              <w:jc w:val="right"/>
              <w:rPr>
                <w:rFonts w:cs="Arial"/>
                <w:sz w:val="20"/>
              </w:rPr>
            </w:pPr>
            <w:r>
              <w:rPr>
                <w:rFonts w:cs="Arial"/>
                <w:sz w:val="20"/>
              </w:rPr>
              <w:t>38(Ι) του 2008</w:t>
            </w:r>
          </w:p>
          <w:p w14:paraId="1B9725DB" w14:textId="77777777" w:rsidR="00991064" w:rsidRDefault="007B4842">
            <w:pPr>
              <w:spacing w:line="360" w:lineRule="auto"/>
              <w:jc w:val="right"/>
              <w:rPr>
                <w:rFonts w:cs="Arial"/>
                <w:sz w:val="20"/>
              </w:rPr>
            </w:pPr>
            <w:r>
              <w:rPr>
                <w:rFonts w:cs="Arial"/>
                <w:sz w:val="20"/>
              </w:rPr>
              <w:t xml:space="preserve">   63(Ι) του 2008</w:t>
            </w:r>
          </w:p>
          <w:p w14:paraId="1093F7C3" w14:textId="77777777" w:rsidR="00991064" w:rsidRDefault="007B4842">
            <w:pPr>
              <w:spacing w:line="360" w:lineRule="auto"/>
              <w:ind w:left="113"/>
              <w:jc w:val="right"/>
              <w:rPr>
                <w:rFonts w:cs="Arial"/>
                <w:sz w:val="20"/>
              </w:rPr>
            </w:pPr>
            <w:r>
              <w:rPr>
                <w:rFonts w:cs="Arial"/>
                <w:sz w:val="20"/>
              </w:rPr>
              <w:t xml:space="preserve"> 88(Ι) του 2008</w:t>
            </w:r>
          </w:p>
          <w:p w14:paraId="1794A5F8" w14:textId="77777777" w:rsidR="00991064" w:rsidRDefault="007B4842">
            <w:pPr>
              <w:spacing w:line="360" w:lineRule="auto"/>
              <w:ind w:left="113"/>
              <w:jc w:val="right"/>
              <w:rPr>
                <w:rFonts w:cs="Arial"/>
                <w:sz w:val="20"/>
              </w:rPr>
            </w:pPr>
            <w:r>
              <w:rPr>
                <w:rFonts w:cs="Arial"/>
                <w:sz w:val="20"/>
              </w:rPr>
              <w:t xml:space="preserve"> 35(Ι) του 2009</w:t>
            </w:r>
          </w:p>
          <w:p w14:paraId="3CAFE26D" w14:textId="77777777" w:rsidR="00991064" w:rsidRDefault="007B4842">
            <w:pPr>
              <w:spacing w:line="360" w:lineRule="auto"/>
              <w:ind w:left="113"/>
              <w:jc w:val="right"/>
              <w:rPr>
                <w:rFonts w:cs="Arial"/>
                <w:sz w:val="20"/>
              </w:rPr>
            </w:pPr>
            <w:r>
              <w:rPr>
                <w:rFonts w:cs="Arial"/>
                <w:sz w:val="20"/>
              </w:rPr>
              <w:t>135(Ι) του 2009</w:t>
            </w:r>
          </w:p>
          <w:p w14:paraId="428E4671" w14:textId="77777777" w:rsidR="00991064" w:rsidRDefault="007B4842">
            <w:pPr>
              <w:spacing w:line="360" w:lineRule="auto"/>
              <w:jc w:val="right"/>
              <w:rPr>
                <w:rFonts w:cs="Arial"/>
                <w:sz w:val="20"/>
              </w:rPr>
            </w:pPr>
            <w:r>
              <w:rPr>
                <w:rFonts w:cs="Arial"/>
                <w:sz w:val="20"/>
              </w:rPr>
              <w:t xml:space="preserve">   13(Ι) του 2010 </w:t>
            </w:r>
          </w:p>
          <w:p w14:paraId="67312488" w14:textId="77777777" w:rsidR="00991064" w:rsidRDefault="007B4842">
            <w:pPr>
              <w:spacing w:line="360" w:lineRule="auto"/>
              <w:jc w:val="right"/>
              <w:rPr>
                <w:rFonts w:cs="Arial"/>
                <w:sz w:val="20"/>
              </w:rPr>
            </w:pPr>
            <w:r>
              <w:rPr>
                <w:rFonts w:cs="Arial"/>
                <w:sz w:val="20"/>
              </w:rPr>
              <w:t>29(Ι) του 2010</w:t>
            </w:r>
          </w:p>
          <w:p w14:paraId="63535A2F" w14:textId="77777777" w:rsidR="00991064" w:rsidRDefault="007B4842">
            <w:pPr>
              <w:spacing w:line="360" w:lineRule="auto"/>
              <w:jc w:val="right"/>
              <w:rPr>
                <w:rFonts w:cs="Arial"/>
                <w:sz w:val="20"/>
              </w:rPr>
            </w:pPr>
            <w:r>
              <w:rPr>
                <w:rFonts w:cs="Arial"/>
                <w:sz w:val="20"/>
              </w:rPr>
              <w:t>68(Ι)/ του 2010</w:t>
            </w:r>
          </w:p>
          <w:p w14:paraId="0FB7A2AE" w14:textId="77777777" w:rsidR="00991064" w:rsidRDefault="007B4842">
            <w:pPr>
              <w:spacing w:line="360" w:lineRule="auto"/>
              <w:jc w:val="right"/>
              <w:rPr>
                <w:rFonts w:cs="Arial"/>
                <w:sz w:val="20"/>
              </w:rPr>
            </w:pPr>
            <w:r>
              <w:rPr>
                <w:rFonts w:cs="Arial"/>
                <w:sz w:val="20"/>
              </w:rPr>
              <w:t>97(Ι) του 2010</w:t>
            </w:r>
          </w:p>
          <w:p w14:paraId="12E8AC61" w14:textId="77777777" w:rsidR="00991064" w:rsidRDefault="007B4842">
            <w:pPr>
              <w:spacing w:line="360" w:lineRule="auto"/>
              <w:jc w:val="right"/>
              <w:rPr>
                <w:rFonts w:cs="Arial"/>
                <w:sz w:val="20"/>
              </w:rPr>
            </w:pPr>
            <w:r>
              <w:rPr>
                <w:rFonts w:cs="Arial"/>
                <w:sz w:val="20"/>
              </w:rPr>
              <w:t>131(Ι) του 2010</w:t>
            </w:r>
          </w:p>
          <w:p w14:paraId="0329BD70" w14:textId="77777777" w:rsidR="00991064" w:rsidRDefault="007B4842">
            <w:pPr>
              <w:spacing w:line="360" w:lineRule="auto"/>
              <w:jc w:val="right"/>
              <w:rPr>
                <w:rFonts w:cs="Arial"/>
                <w:sz w:val="20"/>
              </w:rPr>
            </w:pPr>
            <w:r>
              <w:rPr>
                <w:rFonts w:cs="Arial"/>
                <w:sz w:val="20"/>
              </w:rPr>
              <w:t>4(Ι) του 2011</w:t>
            </w:r>
          </w:p>
          <w:p w14:paraId="73552E01"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37(Ι) του 2011</w:t>
            </w:r>
          </w:p>
          <w:p w14:paraId="25D2BEAC" w14:textId="77777777" w:rsidR="00991064" w:rsidRDefault="007B4842">
            <w:pPr>
              <w:pStyle w:val="BodyTextIndent2"/>
              <w:tabs>
                <w:tab w:val="left" w:pos="0"/>
              </w:tabs>
              <w:spacing w:line="360" w:lineRule="auto"/>
              <w:ind w:left="0" w:firstLine="0"/>
              <w:jc w:val="right"/>
            </w:pPr>
            <w:r>
              <w:rPr>
                <w:rFonts w:cs="Arial"/>
                <w:sz w:val="20"/>
                <w:szCs w:val="20"/>
              </w:rPr>
              <w:t>129(</w:t>
            </w:r>
            <w:r>
              <w:rPr>
                <w:rFonts w:cs="Arial"/>
                <w:sz w:val="20"/>
                <w:szCs w:val="20"/>
                <w:lang w:val="en-US"/>
              </w:rPr>
              <w:t>I</w:t>
            </w:r>
            <w:r>
              <w:rPr>
                <w:rFonts w:cs="Arial"/>
                <w:sz w:val="20"/>
                <w:szCs w:val="20"/>
              </w:rPr>
              <w:t>)  του 2011</w:t>
            </w:r>
          </w:p>
          <w:p w14:paraId="20E9A307" w14:textId="77777777" w:rsidR="00991064" w:rsidRDefault="007B4842">
            <w:pPr>
              <w:spacing w:line="360" w:lineRule="auto"/>
              <w:jc w:val="right"/>
              <w:rPr>
                <w:rFonts w:cs="Arial"/>
                <w:sz w:val="20"/>
              </w:rPr>
            </w:pPr>
            <w:r>
              <w:rPr>
                <w:rFonts w:cs="Arial"/>
                <w:sz w:val="20"/>
              </w:rPr>
              <w:lastRenderedPageBreak/>
              <w:t>186(Ι) του 2011</w:t>
            </w:r>
          </w:p>
          <w:p w14:paraId="3E201584" w14:textId="77777777" w:rsidR="00991064" w:rsidRDefault="007B4842">
            <w:pPr>
              <w:spacing w:line="360" w:lineRule="auto"/>
              <w:jc w:val="right"/>
              <w:rPr>
                <w:rFonts w:cs="Arial"/>
                <w:sz w:val="20"/>
              </w:rPr>
            </w:pPr>
            <w:r>
              <w:rPr>
                <w:rFonts w:cs="Arial"/>
                <w:sz w:val="20"/>
              </w:rPr>
              <w:t>16(Ι) του 2012</w:t>
            </w:r>
          </w:p>
          <w:p w14:paraId="6FE637DA" w14:textId="77777777" w:rsidR="00991064" w:rsidRDefault="007B4842">
            <w:pPr>
              <w:spacing w:line="360" w:lineRule="auto"/>
              <w:jc w:val="right"/>
              <w:rPr>
                <w:rFonts w:cs="Arial"/>
                <w:sz w:val="20"/>
              </w:rPr>
            </w:pPr>
            <w:r>
              <w:rPr>
                <w:rFonts w:cs="Arial"/>
                <w:sz w:val="20"/>
              </w:rPr>
              <w:t xml:space="preserve">73(Ι) του </w:t>
            </w:r>
            <w:r>
              <w:rPr>
                <w:rFonts w:cs="Arial"/>
                <w:sz w:val="20"/>
              </w:rPr>
              <w:t>2012</w:t>
            </w:r>
          </w:p>
          <w:p w14:paraId="6DF98A4C" w14:textId="77777777" w:rsidR="00991064" w:rsidRDefault="007B4842">
            <w:pPr>
              <w:spacing w:line="360" w:lineRule="auto"/>
              <w:jc w:val="right"/>
              <w:rPr>
                <w:rFonts w:cs="Arial"/>
                <w:sz w:val="20"/>
              </w:rPr>
            </w:pPr>
            <w:r>
              <w:rPr>
                <w:rFonts w:cs="Arial"/>
                <w:sz w:val="20"/>
              </w:rPr>
              <w:t>133(Ι) του 2012</w:t>
            </w:r>
          </w:p>
          <w:p w14:paraId="193B793A" w14:textId="77777777" w:rsidR="00991064" w:rsidRDefault="007B4842">
            <w:pPr>
              <w:spacing w:line="360" w:lineRule="auto"/>
              <w:jc w:val="right"/>
              <w:rPr>
                <w:rFonts w:cs="Arial"/>
                <w:sz w:val="20"/>
              </w:rPr>
            </w:pPr>
            <w:r>
              <w:rPr>
                <w:rFonts w:cs="Arial"/>
                <w:sz w:val="20"/>
              </w:rPr>
              <w:t>135(Ι) του 2012</w:t>
            </w:r>
          </w:p>
          <w:p w14:paraId="19A6640A" w14:textId="77777777" w:rsidR="00991064" w:rsidRDefault="007B4842">
            <w:pPr>
              <w:spacing w:line="360" w:lineRule="auto"/>
              <w:jc w:val="right"/>
              <w:rPr>
                <w:rFonts w:cs="Arial"/>
                <w:sz w:val="20"/>
              </w:rPr>
            </w:pPr>
            <w:r>
              <w:rPr>
                <w:rFonts w:cs="Arial"/>
                <w:sz w:val="20"/>
              </w:rPr>
              <w:t>167(Ι) του 2012</w:t>
            </w:r>
          </w:p>
          <w:p w14:paraId="1F588F6E" w14:textId="77777777" w:rsidR="00991064" w:rsidRDefault="007B4842">
            <w:pPr>
              <w:spacing w:line="360" w:lineRule="auto"/>
              <w:jc w:val="right"/>
              <w:rPr>
                <w:rFonts w:cs="Arial"/>
                <w:sz w:val="20"/>
              </w:rPr>
            </w:pPr>
            <w:r>
              <w:rPr>
                <w:rFonts w:cs="Arial"/>
                <w:sz w:val="20"/>
              </w:rPr>
              <w:t>172(Ι) του 2012</w:t>
            </w:r>
          </w:p>
          <w:p w14:paraId="2383207E" w14:textId="77777777" w:rsidR="00991064" w:rsidRDefault="007B4842">
            <w:pPr>
              <w:spacing w:line="360" w:lineRule="auto"/>
              <w:jc w:val="right"/>
              <w:rPr>
                <w:rFonts w:cs="Arial"/>
                <w:sz w:val="20"/>
              </w:rPr>
            </w:pPr>
            <w:r>
              <w:rPr>
                <w:rFonts w:cs="Arial"/>
                <w:sz w:val="20"/>
              </w:rPr>
              <w:t>83(Ι) του 2013</w:t>
            </w:r>
          </w:p>
          <w:p w14:paraId="788237B8" w14:textId="77777777" w:rsidR="00991064" w:rsidRDefault="007B4842">
            <w:pPr>
              <w:spacing w:line="360" w:lineRule="auto"/>
              <w:jc w:val="right"/>
              <w:rPr>
                <w:rFonts w:cs="Arial"/>
                <w:sz w:val="20"/>
              </w:rPr>
            </w:pPr>
            <w:r>
              <w:rPr>
                <w:rFonts w:cs="Arial"/>
                <w:sz w:val="20"/>
              </w:rPr>
              <w:t>118(Ι) του 2013</w:t>
            </w:r>
          </w:p>
          <w:p w14:paraId="36A085A8" w14:textId="77777777" w:rsidR="00991064" w:rsidRDefault="007B4842">
            <w:pPr>
              <w:spacing w:line="360" w:lineRule="auto"/>
              <w:jc w:val="right"/>
              <w:rPr>
                <w:rFonts w:cs="Arial"/>
                <w:sz w:val="20"/>
              </w:rPr>
            </w:pPr>
            <w:r>
              <w:rPr>
                <w:rFonts w:cs="Arial"/>
                <w:sz w:val="20"/>
              </w:rPr>
              <w:t>129(Ι) του 2013</w:t>
            </w:r>
          </w:p>
          <w:p w14:paraId="47344297" w14:textId="77777777" w:rsidR="00991064" w:rsidRDefault="007B4842">
            <w:pPr>
              <w:spacing w:line="360" w:lineRule="auto"/>
              <w:jc w:val="right"/>
              <w:rPr>
                <w:rFonts w:cs="Arial"/>
                <w:sz w:val="20"/>
              </w:rPr>
            </w:pPr>
            <w:r>
              <w:rPr>
                <w:rFonts w:cs="Arial"/>
                <w:sz w:val="20"/>
              </w:rPr>
              <w:t>164(Ι) του 2013</w:t>
            </w:r>
          </w:p>
          <w:p w14:paraId="3AEB7C6A" w14:textId="77777777" w:rsidR="00991064" w:rsidRDefault="007B4842">
            <w:pPr>
              <w:spacing w:line="360" w:lineRule="auto"/>
              <w:jc w:val="right"/>
              <w:rPr>
                <w:rFonts w:cs="Arial"/>
                <w:sz w:val="20"/>
              </w:rPr>
            </w:pPr>
            <w:r>
              <w:rPr>
                <w:rFonts w:cs="Arial"/>
                <w:sz w:val="20"/>
              </w:rPr>
              <w:t>81(Ι) του 2014</w:t>
            </w:r>
          </w:p>
          <w:p w14:paraId="7710B503" w14:textId="77777777" w:rsidR="00991064" w:rsidRDefault="007B4842">
            <w:pPr>
              <w:spacing w:line="360" w:lineRule="auto"/>
              <w:jc w:val="right"/>
              <w:rPr>
                <w:rFonts w:cs="Arial"/>
                <w:sz w:val="20"/>
              </w:rPr>
            </w:pPr>
            <w:r>
              <w:rPr>
                <w:rFonts w:cs="Arial"/>
                <w:sz w:val="20"/>
              </w:rPr>
              <w:t>153(Ι) του 2014</w:t>
            </w:r>
          </w:p>
          <w:p w14:paraId="56FD315E" w14:textId="77777777" w:rsidR="00991064" w:rsidRDefault="007B4842">
            <w:pPr>
              <w:spacing w:line="360" w:lineRule="auto"/>
              <w:jc w:val="right"/>
              <w:rPr>
                <w:rFonts w:cs="Arial"/>
                <w:sz w:val="20"/>
              </w:rPr>
            </w:pPr>
            <w:r>
              <w:rPr>
                <w:rFonts w:cs="Arial"/>
                <w:sz w:val="20"/>
              </w:rPr>
              <w:t>154(Ι) του 2014</w:t>
            </w:r>
          </w:p>
          <w:p w14:paraId="4A5BD7F6" w14:textId="77777777" w:rsidR="00991064" w:rsidRDefault="007B4842">
            <w:pPr>
              <w:spacing w:line="360" w:lineRule="auto"/>
              <w:jc w:val="right"/>
              <w:rPr>
                <w:rFonts w:cs="Arial"/>
                <w:sz w:val="20"/>
              </w:rPr>
            </w:pPr>
            <w:r>
              <w:rPr>
                <w:rFonts w:cs="Arial"/>
                <w:sz w:val="20"/>
              </w:rPr>
              <w:t>155(Ι) του 2014</w:t>
            </w:r>
          </w:p>
          <w:p w14:paraId="4078D906" w14:textId="77777777" w:rsidR="00991064" w:rsidRDefault="007B4842">
            <w:pPr>
              <w:spacing w:line="360" w:lineRule="auto"/>
              <w:jc w:val="right"/>
              <w:rPr>
                <w:rFonts w:cs="Arial"/>
                <w:sz w:val="20"/>
              </w:rPr>
            </w:pPr>
            <w:r>
              <w:rPr>
                <w:rFonts w:cs="Arial"/>
                <w:sz w:val="20"/>
              </w:rPr>
              <w:t>160(Ι) του 2014</w:t>
            </w:r>
          </w:p>
          <w:p w14:paraId="772AA127" w14:textId="77777777" w:rsidR="00991064" w:rsidRDefault="007B4842">
            <w:pPr>
              <w:spacing w:line="360" w:lineRule="auto"/>
              <w:jc w:val="right"/>
            </w:pPr>
            <w:r>
              <w:rPr>
                <w:rFonts w:cs="Arial"/>
                <w:sz w:val="20"/>
              </w:rPr>
              <w:t>215(</w:t>
            </w:r>
            <w:r>
              <w:rPr>
                <w:rFonts w:cs="Arial"/>
                <w:sz w:val="20"/>
                <w:lang w:val="en-US"/>
              </w:rPr>
              <w:t>I</w:t>
            </w:r>
            <w:r>
              <w:rPr>
                <w:rFonts w:cs="Arial"/>
                <w:sz w:val="20"/>
              </w:rPr>
              <w:t>) του 2015</w:t>
            </w:r>
          </w:p>
          <w:p w14:paraId="39755D8A" w14:textId="77777777" w:rsidR="00991064" w:rsidRDefault="007B4842">
            <w:pPr>
              <w:spacing w:line="360" w:lineRule="auto"/>
              <w:jc w:val="right"/>
              <w:rPr>
                <w:rFonts w:cs="Arial"/>
                <w:sz w:val="20"/>
              </w:rPr>
            </w:pPr>
            <w:r>
              <w:rPr>
                <w:rFonts w:cs="Arial"/>
                <w:sz w:val="20"/>
              </w:rPr>
              <w:t>119(Ι) του 2016</w:t>
            </w:r>
          </w:p>
          <w:p w14:paraId="66924116" w14:textId="77777777" w:rsidR="00991064" w:rsidRDefault="007B4842">
            <w:pPr>
              <w:spacing w:line="360" w:lineRule="auto"/>
              <w:jc w:val="right"/>
            </w:pPr>
            <w:r>
              <w:rPr>
                <w:rFonts w:cs="Arial"/>
                <w:sz w:val="20"/>
              </w:rPr>
              <w:t xml:space="preserve">86(1) του </w:t>
            </w:r>
            <w:r>
              <w:rPr>
                <w:rFonts w:cs="Arial"/>
                <w:sz w:val="20"/>
              </w:rPr>
              <w:t>2017</w:t>
            </w:r>
          </w:p>
        </w:tc>
        <w:tc>
          <w:tcPr>
            <w:tcW w:w="7492" w:type="dxa"/>
            <w:shd w:val="clear" w:color="auto" w:fill="auto"/>
            <w:tcMar>
              <w:top w:w="0" w:type="dxa"/>
              <w:left w:w="108" w:type="dxa"/>
              <w:bottom w:w="0" w:type="dxa"/>
              <w:right w:w="108" w:type="dxa"/>
            </w:tcMar>
          </w:tcPr>
          <w:p w14:paraId="13D7CD8D" w14:textId="77777777" w:rsidR="00991064" w:rsidRDefault="007B4842">
            <w:pPr>
              <w:tabs>
                <w:tab w:val="left" w:pos="600"/>
                <w:tab w:val="left" w:pos="1167"/>
                <w:tab w:val="left" w:pos="1734"/>
                <w:tab w:val="left" w:pos="2301"/>
              </w:tabs>
              <w:spacing w:line="360" w:lineRule="auto"/>
              <w:jc w:val="both"/>
              <w:rPr>
                <w:rFonts w:cs="Arial"/>
                <w:szCs w:val="24"/>
              </w:rPr>
            </w:pPr>
            <w:r>
              <w:rPr>
                <w:rFonts w:cs="Arial"/>
                <w:szCs w:val="24"/>
              </w:rPr>
              <w:lastRenderedPageBreak/>
              <w:t>1. Ο παρών Νόμος θα αναφέρεται ως ο περί Φόρου Προστιθέμενης Αξίας (Τροποποιητικός) (Αρ.4) Νόμος του 2021 και θα διαβάζεται μαζί με τους περί Φόρου Προστιθέμενης Αξίας Νόμους του 2000 μέχρι (Αρ.3) του 2021 (που στη συνέχεια θα αναφέρονται ως «ο βασικό</w:t>
            </w:r>
            <w:r>
              <w:rPr>
                <w:rFonts w:cs="Arial"/>
                <w:szCs w:val="24"/>
              </w:rPr>
              <w:t>ς νόμος») και ο βασικός νόμος και ο παρών Νόμος θα αναφέρονται μαζί ως οι περί Φόρου Προστιθέμενης Αξίας Νόμοι του 2000 μέχρι (Τροποποιητικός)(</w:t>
            </w:r>
            <w:proofErr w:type="spellStart"/>
            <w:r>
              <w:rPr>
                <w:rFonts w:cs="Arial"/>
                <w:szCs w:val="24"/>
              </w:rPr>
              <w:t>Αρ</w:t>
            </w:r>
            <w:proofErr w:type="spellEnd"/>
            <w:r>
              <w:rPr>
                <w:rFonts w:cs="Arial"/>
                <w:szCs w:val="24"/>
              </w:rPr>
              <w:t>. 4)   του 2021.</w:t>
            </w:r>
          </w:p>
        </w:tc>
      </w:tr>
      <w:tr w:rsidR="00991064" w14:paraId="4F39F6BB"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5453ED7A" w14:textId="77777777" w:rsidR="00991064" w:rsidRDefault="007B4842">
            <w:pPr>
              <w:spacing w:line="360" w:lineRule="auto"/>
              <w:jc w:val="right"/>
              <w:rPr>
                <w:rFonts w:cs="Arial"/>
                <w:sz w:val="20"/>
              </w:rPr>
            </w:pPr>
            <w:r>
              <w:rPr>
                <w:rFonts w:cs="Arial"/>
                <w:sz w:val="20"/>
              </w:rPr>
              <w:t xml:space="preserve">313 του 2017 </w:t>
            </w:r>
          </w:p>
          <w:p w14:paraId="32CA3EC2" w14:textId="77777777" w:rsidR="00991064" w:rsidRDefault="007B4842">
            <w:pPr>
              <w:spacing w:line="360" w:lineRule="auto"/>
              <w:jc w:val="right"/>
              <w:rPr>
                <w:rFonts w:cs="Arial"/>
                <w:sz w:val="20"/>
              </w:rPr>
            </w:pPr>
            <w:r>
              <w:rPr>
                <w:rFonts w:cs="Arial"/>
                <w:sz w:val="20"/>
              </w:rPr>
              <w:t xml:space="preserve">135(I) του 2017 </w:t>
            </w:r>
          </w:p>
          <w:p w14:paraId="13D65F5D" w14:textId="77777777" w:rsidR="00991064" w:rsidRDefault="007B4842">
            <w:pPr>
              <w:spacing w:line="360" w:lineRule="auto"/>
              <w:jc w:val="right"/>
              <w:rPr>
                <w:rFonts w:cs="Arial"/>
                <w:sz w:val="20"/>
              </w:rPr>
            </w:pPr>
            <w:r>
              <w:rPr>
                <w:rFonts w:cs="Arial"/>
                <w:sz w:val="20"/>
              </w:rPr>
              <w:t>157(I) του 2017</w:t>
            </w:r>
          </w:p>
          <w:p w14:paraId="22151FD2" w14:textId="77777777" w:rsidR="00991064" w:rsidRDefault="007B4842">
            <w:pPr>
              <w:spacing w:line="360" w:lineRule="auto"/>
              <w:jc w:val="right"/>
              <w:rPr>
                <w:rFonts w:cs="Arial"/>
                <w:sz w:val="20"/>
              </w:rPr>
            </w:pPr>
            <w:r>
              <w:rPr>
                <w:rFonts w:cs="Arial"/>
                <w:sz w:val="20"/>
              </w:rPr>
              <w:t>39(Ι) του 2018</w:t>
            </w:r>
          </w:p>
          <w:p w14:paraId="1F727523" w14:textId="77777777" w:rsidR="00991064" w:rsidRDefault="007B4842">
            <w:pPr>
              <w:spacing w:line="360" w:lineRule="auto"/>
              <w:jc w:val="right"/>
              <w:rPr>
                <w:rFonts w:cs="Arial"/>
                <w:sz w:val="20"/>
              </w:rPr>
            </w:pPr>
            <w:r>
              <w:rPr>
                <w:rFonts w:cs="Arial"/>
                <w:sz w:val="20"/>
              </w:rPr>
              <w:t>60(Ι) του 2018</w:t>
            </w:r>
          </w:p>
          <w:p w14:paraId="05047BE3"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 xml:space="preserve">121(Ι) του </w:t>
            </w:r>
            <w:r>
              <w:rPr>
                <w:rFonts w:cs="Arial"/>
                <w:sz w:val="20"/>
                <w:szCs w:val="20"/>
              </w:rPr>
              <w:t>2018</w:t>
            </w:r>
          </w:p>
          <w:p w14:paraId="18116179" w14:textId="77777777" w:rsidR="00991064" w:rsidRDefault="007B4842">
            <w:pPr>
              <w:pStyle w:val="BodyTextIndent2"/>
              <w:tabs>
                <w:tab w:val="left" w:pos="0"/>
                <w:tab w:val="left" w:pos="374"/>
              </w:tabs>
              <w:spacing w:line="360" w:lineRule="auto"/>
              <w:ind w:left="0" w:firstLine="0"/>
              <w:jc w:val="right"/>
              <w:rPr>
                <w:rFonts w:cs="Arial"/>
                <w:sz w:val="20"/>
                <w:szCs w:val="20"/>
              </w:rPr>
            </w:pPr>
            <w:r>
              <w:rPr>
                <w:rFonts w:cs="Arial"/>
                <w:sz w:val="20"/>
                <w:szCs w:val="20"/>
              </w:rPr>
              <w:t>31(Ι) του 2019</w:t>
            </w:r>
          </w:p>
          <w:p w14:paraId="6DD526A9" w14:textId="77777777" w:rsidR="00991064" w:rsidRDefault="007B4842">
            <w:pPr>
              <w:spacing w:line="360" w:lineRule="auto"/>
              <w:jc w:val="right"/>
              <w:rPr>
                <w:rFonts w:cs="Arial"/>
                <w:sz w:val="20"/>
              </w:rPr>
            </w:pPr>
            <w:r>
              <w:rPr>
                <w:rFonts w:cs="Arial"/>
                <w:sz w:val="20"/>
              </w:rPr>
              <w:t>70(Ι) του 2019</w:t>
            </w:r>
          </w:p>
          <w:p w14:paraId="25391B14" w14:textId="77777777" w:rsidR="00991064" w:rsidRDefault="007B4842">
            <w:pPr>
              <w:spacing w:line="360" w:lineRule="auto"/>
              <w:jc w:val="right"/>
            </w:pPr>
            <w:r>
              <w:rPr>
                <w:rFonts w:cs="Arial"/>
                <w:sz w:val="20"/>
              </w:rPr>
              <w:t>158(</w:t>
            </w:r>
            <w:r>
              <w:rPr>
                <w:rFonts w:cs="Arial"/>
                <w:sz w:val="20"/>
                <w:lang w:val="en-US"/>
              </w:rPr>
              <w:t>I</w:t>
            </w:r>
            <w:r>
              <w:rPr>
                <w:rFonts w:cs="Arial"/>
                <w:sz w:val="20"/>
              </w:rPr>
              <w:t>) του 2019</w:t>
            </w:r>
          </w:p>
          <w:p w14:paraId="1AD0A782" w14:textId="77777777" w:rsidR="00991064" w:rsidRDefault="007B4842">
            <w:pPr>
              <w:spacing w:line="360" w:lineRule="auto"/>
              <w:jc w:val="right"/>
              <w:rPr>
                <w:rFonts w:cs="Arial"/>
                <w:sz w:val="20"/>
              </w:rPr>
            </w:pPr>
            <w:r>
              <w:rPr>
                <w:rFonts w:cs="Arial"/>
                <w:sz w:val="20"/>
              </w:rPr>
              <w:t>24(Ι) του 2020</w:t>
            </w:r>
          </w:p>
          <w:p w14:paraId="51B6E684" w14:textId="77777777" w:rsidR="00991064" w:rsidRDefault="007B4842">
            <w:pPr>
              <w:spacing w:line="360" w:lineRule="auto"/>
              <w:jc w:val="right"/>
              <w:rPr>
                <w:rFonts w:cs="Arial"/>
                <w:sz w:val="20"/>
              </w:rPr>
            </w:pPr>
            <w:r>
              <w:rPr>
                <w:rFonts w:cs="Arial"/>
                <w:sz w:val="20"/>
              </w:rPr>
              <w:t>79(Ι) του 2020</w:t>
            </w:r>
          </w:p>
          <w:p w14:paraId="70B629F2" w14:textId="77777777" w:rsidR="00991064" w:rsidRDefault="007B4842">
            <w:pPr>
              <w:spacing w:line="360" w:lineRule="auto"/>
              <w:jc w:val="right"/>
              <w:rPr>
                <w:rFonts w:cs="Arial"/>
                <w:sz w:val="20"/>
              </w:rPr>
            </w:pPr>
            <w:r>
              <w:rPr>
                <w:rFonts w:cs="Arial"/>
                <w:sz w:val="20"/>
              </w:rPr>
              <w:t>121(Ι) του 2020</w:t>
            </w:r>
          </w:p>
          <w:p w14:paraId="17741A82" w14:textId="77777777" w:rsidR="00991064" w:rsidRDefault="007B4842">
            <w:pPr>
              <w:spacing w:line="360" w:lineRule="auto"/>
              <w:jc w:val="right"/>
            </w:pPr>
            <w:r>
              <w:rPr>
                <w:rFonts w:cs="Arial"/>
                <w:sz w:val="20"/>
              </w:rPr>
              <w:t>122(</w:t>
            </w:r>
            <w:r>
              <w:rPr>
                <w:rFonts w:cs="Arial"/>
                <w:sz w:val="20"/>
                <w:lang w:val="en-US"/>
              </w:rPr>
              <w:t>I</w:t>
            </w:r>
            <w:r>
              <w:rPr>
                <w:rFonts w:cs="Arial"/>
                <w:sz w:val="20"/>
              </w:rPr>
              <w:t>) του 2020</w:t>
            </w:r>
          </w:p>
          <w:p w14:paraId="5C29AECA" w14:textId="77777777" w:rsidR="00991064" w:rsidRDefault="007B4842">
            <w:pPr>
              <w:spacing w:line="360" w:lineRule="auto"/>
              <w:jc w:val="right"/>
              <w:rPr>
                <w:rFonts w:cs="Arial"/>
                <w:sz w:val="20"/>
              </w:rPr>
            </w:pPr>
            <w:r>
              <w:rPr>
                <w:rFonts w:cs="Arial"/>
                <w:sz w:val="20"/>
              </w:rPr>
              <w:t>147(Ι) του 2020</w:t>
            </w:r>
          </w:p>
          <w:p w14:paraId="462352C0" w14:textId="77777777" w:rsidR="00991064" w:rsidRDefault="007B4842">
            <w:pPr>
              <w:spacing w:line="360" w:lineRule="auto"/>
              <w:jc w:val="right"/>
              <w:rPr>
                <w:rFonts w:cs="Arial"/>
                <w:sz w:val="20"/>
              </w:rPr>
            </w:pPr>
            <w:r>
              <w:rPr>
                <w:rFonts w:cs="Arial"/>
                <w:sz w:val="20"/>
              </w:rPr>
              <w:t>178(Ι) του 2020</w:t>
            </w:r>
          </w:p>
          <w:p w14:paraId="542A61A5" w14:textId="77777777" w:rsidR="00991064" w:rsidRDefault="007B4842">
            <w:pPr>
              <w:spacing w:line="360" w:lineRule="auto"/>
              <w:jc w:val="right"/>
              <w:rPr>
                <w:rFonts w:cs="Arial"/>
                <w:sz w:val="20"/>
              </w:rPr>
            </w:pPr>
            <w:r>
              <w:rPr>
                <w:rFonts w:cs="Arial"/>
                <w:sz w:val="20"/>
              </w:rPr>
              <w:t>5(Ι) του 2021</w:t>
            </w:r>
          </w:p>
          <w:p w14:paraId="78F0E53C" w14:textId="77777777" w:rsidR="00991064" w:rsidRDefault="007B4842">
            <w:pPr>
              <w:spacing w:line="360" w:lineRule="auto"/>
              <w:jc w:val="right"/>
              <w:rPr>
                <w:rFonts w:cs="Arial"/>
                <w:sz w:val="20"/>
              </w:rPr>
            </w:pPr>
            <w:r>
              <w:rPr>
                <w:rFonts w:cs="Arial"/>
                <w:sz w:val="20"/>
              </w:rPr>
              <w:t>72(Ι) του 2021</w:t>
            </w:r>
          </w:p>
          <w:p w14:paraId="4C971706" w14:textId="77777777" w:rsidR="00991064" w:rsidRDefault="007B4842">
            <w:pPr>
              <w:spacing w:line="360" w:lineRule="auto"/>
              <w:jc w:val="right"/>
              <w:rPr>
                <w:rFonts w:cs="Arial"/>
                <w:sz w:val="20"/>
              </w:rPr>
            </w:pPr>
            <w:r>
              <w:rPr>
                <w:rFonts w:cs="Arial"/>
                <w:sz w:val="20"/>
              </w:rPr>
              <w:t>80(Ι) του 2021.</w:t>
            </w:r>
          </w:p>
        </w:tc>
        <w:tc>
          <w:tcPr>
            <w:tcW w:w="7492" w:type="dxa"/>
            <w:shd w:val="clear" w:color="auto" w:fill="auto"/>
            <w:tcMar>
              <w:top w:w="0" w:type="dxa"/>
              <w:left w:w="108" w:type="dxa"/>
              <w:bottom w:w="0" w:type="dxa"/>
              <w:right w:w="108" w:type="dxa"/>
            </w:tcMar>
          </w:tcPr>
          <w:p w14:paraId="5B5B0E21" w14:textId="77777777" w:rsidR="00991064" w:rsidRDefault="00991064">
            <w:pPr>
              <w:tabs>
                <w:tab w:val="left" w:pos="600"/>
                <w:tab w:val="left" w:pos="1167"/>
                <w:tab w:val="left" w:pos="1734"/>
                <w:tab w:val="left" w:pos="2301"/>
              </w:tabs>
              <w:spacing w:line="360" w:lineRule="auto"/>
              <w:jc w:val="both"/>
              <w:rPr>
                <w:rFonts w:cs="Arial"/>
                <w:szCs w:val="24"/>
              </w:rPr>
            </w:pPr>
          </w:p>
        </w:tc>
      </w:tr>
      <w:tr w:rsidR="00991064" w14:paraId="44A3AD50"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7DBB4F9A" w14:textId="77777777" w:rsidR="00991064" w:rsidRDefault="00991064">
            <w:pPr>
              <w:spacing w:line="360" w:lineRule="auto"/>
              <w:jc w:val="right"/>
              <w:rPr>
                <w:rFonts w:cs="Arial"/>
                <w:sz w:val="20"/>
              </w:rPr>
            </w:pPr>
          </w:p>
        </w:tc>
        <w:tc>
          <w:tcPr>
            <w:tcW w:w="7492" w:type="dxa"/>
            <w:shd w:val="clear" w:color="auto" w:fill="auto"/>
            <w:tcMar>
              <w:top w:w="0" w:type="dxa"/>
              <w:left w:w="108" w:type="dxa"/>
              <w:bottom w:w="0" w:type="dxa"/>
              <w:right w:w="108" w:type="dxa"/>
            </w:tcMar>
          </w:tcPr>
          <w:p w14:paraId="15E9C7D3" w14:textId="77777777" w:rsidR="00991064" w:rsidRDefault="00991064">
            <w:pPr>
              <w:tabs>
                <w:tab w:val="left" w:pos="600"/>
                <w:tab w:val="left" w:pos="1167"/>
                <w:tab w:val="left" w:pos="1734"/>
                <w:tab w:val="left" w:pos="2301"/>
              </w:tabs>
              <w:spacing w:line="360" w:lineRule="auto"/>
              <w:jc w:val="both"/>
              <w:rPr>
                <w:rFonts w:cs="Arial"/>
                <w:szCs w:val="24"/>
              </w:rPr>
            </w:pPr>
          </w:p>
        </w:tc>
      </w:tr>
      <w:tr w:rsidR="00991064" w14:paraId="62759557"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563CB0BA" w14:textId="77777777" w:rsidR="00991064" w:rsidRDefault="007B4842">
            <w:pPr>
              <w:spacing w:line="360" w:lineRule="auto"/>
              <w:rPr>
                <w:rFonts w:cs="Arial"/>
                <w:sz w:val="20"/>
              </w:rPr>
            </w:pPr>
            <w:r>
              <w:rPr>
                <w:rFonts w:cs="Arial"/>
                <w:sz w:val="20"/>
              </w:rPr>
              <w:t xml:space="preserve">Τροποποίηση του Πίνακα Γ του Πέμπτου </w:t>
            </w:r>
            <w:r>
              <w:rPr>
                <w:rFonts w:cs="Arial"/>
                <w:sz w:val="20"/>
              </w:rPr>
              <w:lastRenderedPageBreak/>
              <w:t xml:space="preserve">Παραρτήματος του </w:t>
            </w:r>
            <w:r>
              <w:rPr>
                <w:rFonts w:cs="Arial"/>
                <w:sz w:val="20"/>
              </w:rPr>
              <w:t>βασικού νόμου.</w:t>
            </w:r>
          </w:p>
        </w:tc>
        <w:tc>
          <w:tcPr>
            <w:tcW w:w="7492" w:type="dxa"/>
            <w:shd w:val="clear" w:color="auto" w:fill="auto"/>
            <w:tcMar>
              <w:top w:w="0" w:type="dxa"/>
              <w:left w:w="108" w:type="dxa"/>
              <w:bottom w:w="0" w:type="dxa"/>
              <w:right w:w="108" w:type="dxa"/>
            </w:tcMar>
          </w:tcPr>
          <w:p w14:paraId="7154A12A" w14:textId="77777777" w:rsidR="00991064" w:rsidRDefault="007B4842">
            <w:pPr>
              <w:spacing w:line="360" w:lineRule="auto"/>
              <w:jc w:val="both"/>
              <w:rPr>
                <w:rFonts w:cs="Arial"/>
                <w:szCs w:val="24"/>
              </w:rPr>
            </w:pPr>
            <w:r>
              <w:rPr>
                <w:rFonts w:cs="Arial"/>
                <w:szCs w:val="24"/>
              </w:rPr>
              <w:lastRenderedPageBreak/>
              <w:t>2. Η παράγραφος 3 του Πίνακα Γ του Πέμπτου Παραρτήματος του βασικού νόμου τροποποιείται ως ακολούθως:</w:t>
            </w:r>
          </w:p>
          <w:p w14:paraId="56B7C10B" w14:textId="77777777" w:rsidR="00991064" w:rsidRDefault="00991064">
            <w:pPr>
              <w:spacing w:line="360" w:lineRule="auto"/>
              <w:jc w:val="both"/>
              <w:rPr>
                <w:rFonts w:cs="Arial"/>
                <w:szCs w:val="24"/>
              </w:rPr>
            </w:pPr>
          </w:p>
        </w:tc>
      </w:tr>
      <w:tr w:rsidR="00991064" w14:paraId="27932781"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53EF1C59" w14:textId="77777777" w:rsidR="00991064" w:rsidRDefault="00991064">
            <w:pPr>
              <w:spacing w:line="360" w:lineRule="auto"/>
              <w:rPr>
                <w:rFonts w:cs="Arial"/>
                <w:sz w:val="20"/>
              </w:rPr>
            </w:pPr>
          </w:p>
        </w:tc>
        <w:tc>
          <w:tcPr>
            <w:tcW w:w="7492" w:type="dxa"/>
            <w:shd w:val="clear" w:color="auto" w:fill="auto"/>
            <w:tcMar>
              <w:top w:w="0" w:type="dxa"/>
              <w:left w:w="108" w:type="dxa"/>
              <w:bottom w:w="0" w:type="dxa"/>
              <w:right w:w="108" w:type="dxa"/>
            </w:tcMar>
          </w:tcPr>
          <w:p w14:paraId="171F51D5" w14:textId="77777777" w:rsidR="00991064" w:rsidRDefault="007B4842">
            <w:pPr>
              <w:spacing w:line="360" w:lineRule="auto"/>
              <w:ind w:left="1288" w:hanging="708"/>
              <w:jc w:val="both"/>
              <w:rPr>
                <w:rFonts w:cs="Arial"/>
                <w:szCs w:val="24"/>
              </w:rPr>
            </w:pPr>
            <w:r>
              <w:rPr>
                <w:rFonts w:cs="Arial"/>
                <w:szCs w:val="24"/>
              </w:rPr>
              <w:t xml:space="preserve">(α) </w:t>
            </w:r>
            <w:r>
              <w:rPr>
                <w:rFonts w:cs="Arial"/>
                <w:szCs w:val="24"/>
              </w:rPr>
              <w:tab/>
              <w:t xml:space="preserve">με την αντικατάσταση στη δεύτερη </w:t>
            </w:r>
            <w:proofErr w:type="spellStart"/>
            <w:r>
              <w:rPr>
                <w:rFonts w:cs="Arial"/>
                <w:szCs w:val="24"/>
              </w:rPr>
              <w:t>υποπαράγραφο</w:t>
            </w:r>
            <w:proofErr w:type="spellEnd"/>
            <w:r>
              <w:rPr>
                <w:rFonts w:cs="Arial"/>
                <w:szCs w:val="24"/>
              </w:rPr>
              <w:t xml:space="preserve"> αυτής, της φράση «πρώτα διακόσια (200) τετραγωνικά μέτρα δομήσιμου εμβαδού </w:t>
            </w:r>
            <w:r>
              <w:rPr>
                <w:rFonts w:cs="Arial"/>
                <w:szCs w:val="24"/>
              </w:rPr>
              <w:t xml:space="preserve">κατοικιών» (πρώτη γραμμή) , με τη φράση «πρώτα </w:t>
            </w:r>
            <w:proofErr w:type="spellStart"/>
            <w:r>
              <w:rPr>
                <w:rFonts w:cs="Arial"/>
                <w:szCs w:val="24"/>
              </w:rPr>
              <w:t>εκατόν</w:t>
            </w:r>
            <w:proofErr w:type="spellEnd"/>
            <w:r>
              <w:rPr>
                <w:rFonts w:cs="Arial"/>
                <w:szCs w:val="24"/>
              </w:rPr>
              <w:t xml:space="preserve"> σαράντα (140) τετραγωνικά μέτρα δομήσιμου εμβαδού κατοικιών των οποίων το συνολικό δομήσιμο εμβαδόν δεν υπερβαίνει τα διακόσια (200) τετραγωνικά μέτρα δομήσιμου εμβαδού,».</w:t>
            </w:r>
          </w:p>
        </w:tc>
      </w:tr>
      <w:tr w:rsidR="00991064" w14:paraId="47D029B3" w14:textId="77777777">
        <w:tblPrEx>
          <w:tblCellMar>
            <w:top w:w="0" w:type="dxa"/>
            <w:bottom w:w="0" w:type="dxa"/>
          </w:tblCellMar>
        </w:tblPrEx>
        <w:tc>
          <w:tcPr>
            <w:tcW w:w="1808" w:type="dxa"/>
            <w:shd w:val="clear" w:color="auto" w:fill="auto"/>
            <w:tcMar>
              <w:top w:w="0" w:type="dxa"/>
              <w:left w:w="108" w:type="dxa"/>
              <w:bottom w:w="0" w:type="dxa"/>
              <w:right w:w="108" w:type="dxa"/>
            </w:tcMar>
          </w:tcPr>
          <w:p w14:paraId="535F5282" w14:textId="77777777" w:rsidR="00991064" w:rsidRDefault="00991064">
            <w:pPr>
              <w:spacing w:line="360" w:lineRule="auto"/>
              <w:rPr>
                <w:rFonts w:cs="Arial"/>
                <w:sz w:val="20"/>
              </w:rPr>
            </w:pPr>
          </w:p>
        </w:tc>
        <w:tc>
          <w:tcPr>
            <w:tcW w:w="7492" w:type="dxa"/>
            <w:shd w:val="clear" w:color="auto" w:fill="auto"/>
            <w:tcMar>
              <w:top w:w="0" w:type="dxa"/>
              <w:left w:w="108" w:type="dxa"/>
              <w:bottom w:w="0" w:type="dxa"/>
              <w:right w:w="108" w:type="dxa"/>
            </w:tcMar>
          </w:tcPr>
          <w:p w14:paraId="0AED2C7B" w14:textId="77777777" w:rsidR="00991064" w:rsidRDefault="00991064">
            <w:pPr>
              <w:spacing w:line="360" w:lineRule="auto"/>
              <w:jc w:val="both"/>
              <w:rPr>
                <w:rFonts w:cs="Arial"/>
                <w:szCs w:val="24"/>
              </w:rPr>
            </w:pPr>
          </w:p>
        </w:tc>
      </w:tr>
    </w:tbl>
    <w:p w14:paraId="17DC88A7" w14:textId="77777777" w:rsidR="00991064" w:rsidRDefault="00991064">
      <w:pPr>
        <w:spacing w:line="360" w:lineRule="auto"/>
        <w:rPr>
          <w:rFonts w:cs="Arial"/>
          <w:szCs w:val="24"/>
        </w:rPr>
      </w:pPr>
    </w:p>
    <w:p w14:paraId="0273333B" w14:textId="77777777" w:rsidR="00991064" w:rsidRDefault="00991064">
      <w:pPr>
        <w:spacing w:line="360" w:lineRule="auto"/>
        <w:rPr>
          <w:rFonts w:cs="Arial"/>
          <w:szCs w:val="24"/>
        </w:rPr>
      </w:pPr>
    </w:p>
    <w:p w14:paraId="188119A1" w14:textId="77777777" w:rsidR="00991064" w:rsidRDefault="00991064">
      <w:pPr>
        <w:spacing w:line="360" w:lineRule="auto"/>
        <w:rPr>
          <w:rFonts w:cs="Arial"/>
          <w:szCs w:val="24"/>
        </w:rPr>
      </w:pPr>
    </w:p>
    <w:p w14:paraId="2BC0FC00" w14:textId="77777777" w:rsidR="00991064" w:rsidRDefault="00991064">
      <w:pPr>
        <w:spacing w:line="360" w:lineRule="auto"/>
        <w:rPr>
          <w:rFonts w:cs="Arial"/>
          <w:szCs w:val="24"/>
        </w:rPr>
      </w:pPr>
    </w:p>
    <w:p w14:paraId="2590538F" w14:textId="77777777" w:rsidR="00991064" w:rsidRDefault="00991064">
      <w:pPr>
        <w:spacing w:line="360" w:lineRule="auto"/>
        <w:rPr>
          <w:rFonts w:cs="Arial"/>
          <w:szCs w:val="24"/>
        </w:rPr>
      </w:pPr>
    </w:p>
    <w:p w14:paraId="2CE25A56" w14:textId="77777777" w:rsidR="00991064" w:rsidRDefault="00991064">
      <w:pPr>
        <w:spacing w:line="360" w:lineRule="auto"/>
        <w:rPr>
          <w:rFonts w:cs="Arial"/>
          <w:szCs w:val="24"/>
        </w:rPr>
      </w:pPr>
    </w:p>
    <w:p w14:paraId="02B0505D" w14:textId="77777777" w:rsidR="00991064" w:rsidRDefault="00991064">
      <w:pPr>
        <w:spacing w:line="360" w:lineRule="auto"/>
        <w:rPr>
          <w:rFonts w:cs="Arial"/>
          <w:szCs w:val="24"/>
        </w:rPr>
      </w:pPr>
    </w:p>
    <w:p w14:paraId="4107BF53" w14:textId="77777777" w:rsidR="00991064" w:rsidRDefault="00991064">
      <w:pPr>
        <w:spacing w:line="360" w:lineRule="auto"/>
        <w:rPr>
          <w:rFonts w:cs="Arial"/>
          <w:szCs w:val="24"/>
        </w:rPr>
      </w:pPr>
    </w:p>
    <w:p w14:paraId="6143AE31" w14:textId="77777777" w:rsidR="00991064" w:rsidRDefault="00991064">
      <w:pPr>
        <w:spacing w:line="360" w:lineRule="auto"/>
        <w:rPr>
          <w:rFonts w:cs="Arial"/>
          <w:szCs w:val="24"/>
        </w:rPr>
      </w:pPr>
    </w:p>
    <w:p w14:paraId="7C7E72E0" w14:textId="77777777" w:rsidR="00991064" w:rsidRDefault="00991064">
      <w:pPr>
        <w:spacing w:line="360" w:lineRule="auto"/>
        <w:rPr>
          <w:rFonts w:cs="Arial"/>
          <w:szCs w:val="24"/>
        </w:rPr>
      </w:pPr>
    </w:p>
    <w:p w14:paraId="1A09FCDB" w14:textId="77777777" w:rsidR="00991064" w:rsidRDefault="00991064">
      <w:pPr>
        <w:spacing w:line="360" w:lineRule="auto"/>
        <w:rPr>
          <w:rFonts w:cs="Arial"/>
          <w:szCs w:val="24"/>
        </w:rPr>
      </w:pPr>
    </w:p>
    <w:p w14:paraId="0C360C3E" w14:textId="77777777" w:rsidR="00991064" w:rsidRDefault="00991064">
      <w:pPr>
        <w:spacing w:line="360" w:lineRule="auto"/>
        <w:rPr>
          <w:rFonts w:cs="Arial"/>
          <w:szCs w:val="24"/>
        </w:rPr>
      </w:pPr>
    </w:p>
    <w:p w14:paraId="10806039" w14:textId="77777777" w:rsidR="00991064" w:rsidRDefault="007B4842">
      <w:pPr>
        <w:ind w:right="-427"/>
        <w:rPr>
          <w:rFonts w:cs="Arial"/>
          <w:sz w:val="20"/>
        </w:rPr>
      </w:pPr>
      <w:r>
        <w:rPr>
          <w:rFonts w:cs="Arial"/>
          <w:sz w:val="20"/>
        </w:rPr>
        <w:t>ΕΣ/ΓΣΤ</w:t>
      </w:r>
    </w:p>
    <w:p w14:paraId="27F818F1" w14:textId="77777777" w:rsidR="00991064" w:rsidRDefault="007B4842">
      <w:pPr>
        <w:ind w:right="-427"/>
      </w:pPr>
      <w:r>
        <w:rPr>
          <w:rFonts w:cs="Arial"/>
          <w:sz w:val="12"/>
          <w:szCs w:val="12"/>
        </w:rPr>
        <w:t>Νομοσχέδια 2021</w:t>
      </w:r>
    </w:p>
    <w:sectPr w:rsidR="00991064">
      <w:headerReference w:type="default" r:id="rId6"/>
      <w:headerReference w:type="first" r:id="rId7"/>
      <w:pgSz w:w="11906" w:h="16838"/>
      <w:pgMar w:top="1304" w:right="1134" w:bottom="130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CFAA" w14:textId="77777777" w:rsidR="007B4842" w:rsidRDefault="007B4842">
      <w:r>
        <w:separator/>
      </w:r>
    </w:p>
  </w:endnote>
  <w:endnote w:type="continuationSeparator" w:id="0">
    <w:p w14:paraId="090B5CC3" w14:textId="77777777" w:rsidR="007B4842" w:rsidRDefault="007B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5632" w14:textId="77777777" w:rsidR="007B4842" w:rsidRDefault="007B4842">
      <w:r>
        <w:rPr>
          <w:color w:val="000000"/>
        </w:rPr>
        <w:separator/>
      </w:r>
    </w:p>
  </w:footnote>
  <w:footnote w:type="continuationSeparator" w:id="0">
    <w:p w14:paraId="7590B753" w14:textId="77777777" w:rsidR="007B4842" w:rsidRDefault="007B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D081" w14:textId="77777777" w:rsidR="00CC07CB" w:rsidRDefault="007B4842">
    <w:pPr>
      <w:pStyle w:val="Header"/>
    </w:pPr>
    <w:r>
      <w:rPr>
        <w:noProof/>
        <w:lang w:eastAsia="el-GR"/>
      </w:rPr>
      <mc:AlternateContent>
        <mc:Choice Requires="wps">
          <w:drawing>
            <wp:anchor distT="0" distB="0" distL="114300" distR="114300" simplePos="0" relativeHeight="251659264" behindDoc="0" locked="0" layoutInCell="1" allowOverlap="1" wp14:anchorId="34093B79" wp14:editId="613B67CC">
              <wp:simplePos x="0" y="0"/>
              <wp:positionH relativeFrom="page">
                <wp:posOffset>3366729</wp:posOffset>
              </wp:positionH>
              <wp:positionV relativeFrom="paragraph">
                <wp:posOffset>548</wp:posOffset>
              </wp:positionV>
              <wp:extent cx="450854"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0854" cy="0"/>
                      </a:xfrm>
                      <a:prstGeom prst="rect">
                        <a:avLst/>
                      </a:prstGeom>
                      <a:noFill/>
                      <a:ln>
                        <a:noFill/>
                        <a:prstDash/>
                      </a:ln>
                    </wps:spPr>
                    <wps:txbx>
                      <w:txbxContent>
                        <w:p w14:paraId="3F09EAF4" w14:textId="77777777" w:rsidR="00CC07CB" w:rsidRDefault="007B4842">
                          <w:pPr>
                            <w:pStyle w:val="Head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w:t>
                          </w:r>
                          <w:r>
                            <w:rPr>
                              <w:rStyle w:val="PageNumber"/>
                              <w:sz w:val="20"/>
                            </w:rPr>
                            <w:fldChar w:fldCharType="end"/>
                          </w:r>
                        </w:p>
                      </w:txbxContent>
                    </wps:txbx>
                    <wps:bodyPr vert="horz" wrap="square" lIns="0" tIns="0" rIns="0" bIns="0" anchor="t" anchorCtr="0" compatLnSpc="0">
                      <a:spAutoFit/>
                    </wps:bodyPr>
                  </wps:wsp>
                </a:graphicData>
              </a:graphic>
            </wp:anchor>
          </w:drawing>
        </mc:Choice>
        <mc:Fallback>
          <w:pict>
            <v:shapetype w14:anchorId="34093B79" id="_x0000_t202" coordsize="21600,21600" o:spt="202" path="m,l,21600r21600,l21600,xe">
              <v:stroke joinstyle="miter"/>
              <v:path gradientshapeok="t" o:connecttype="rect"/>
            </v:shapetype>
            <v:shape id="Text Box 1" o:spid="_x0000_s1026" type="#_x0000_t202" style="position:absolute;margin-left:265.1pt;margin-top:.05pt;width:35.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" filled="f" stroked="f">
              <v:textbox style="mso-fit-shape-to-text:t" inset="0,0,0,0">
                <w:txbxContent>
                  <w:p w14:paraId="3F09EAF4" w14:textId="77777777" w:rsidR="00CC07CB" w:rsidRDefault="007B4842">
                    <w:pPr>
                      <w:pStyle w:val="Head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2</w:t>
                    </w:r>
                    <w:r>
                      <w:rPr>
                        <w:rStyle w:val="PageNumber"/>
                        <w:sz w:val="20"/>
                      </w:rPr>
                      <w:fldChar w:fldCharType="end"/>
                    </w: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E6BC" w14:textId="77777777" w:rsidR="00CC07CB" w:rsidRDefault="007B4842">
    <w:pPr>
      <w:pStyle w:val="Header"/>
    </w:pPr>
  </w:p>
  <w:p w14:paraId="046E8395" w14:textId="77777777" w:rsidR="00CC07CB" w:rsidRDefault="007B4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91064"/>
    <w:rsid w:val="007B4842"/>
    <w:rsid w:val="00991064"/>
    <w:rsid w:val="00E8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2F9C"/>
  <w15:docId w15:val="{A98D03C7-C5A7-4A8F-8D92-90DE429A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Arial" w:eastAsia="Times New Roman" w:hAnsi="Arial"/>
      <w:sz w:val="24"/>
      <w:szCs w:val="20"/>
      <w:lang w:val="el-GR"/>
    </w:rPr>
  </w:style>
  <w:style w:type="paragraph" w:styleId="Heading1">
    <w:name w:val="heading 1"/>
    <w:basedOn w:val="Normal"/>
    <w:next w:val="Normal"/>
    <w:uiPriority w:val="9"/>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20"/>
      <w:lang w:val="el-GR"/>
    </w:rPr>
  </w:style>
  <w:style w:type="paragraph" w:styleId="Title">
    <w:name w:val="Title"/>
    <w:basedOn w:val="Normal"/>
    <w:uiPriority w:val="10"/>
    <w:qFormat/>
    <w:pPr>
      <w:jc w:val="center"/>
    </w:pPr>
    <w:rPr>
      <w:b/>
      <w:u w:val="single"/>
    </w:rPr>
  </w:style>
  <w:style w:type="character" w:customStyle="1" w:styleId="TitleChar">
    <w:name w:val="Title Char"/>
    <w:basedOn w:val="DefaultParagraphFont"/>
    <w:rPr>
      <w:rFonts w:ascii="Arial" w:eastAsia="Times New Roman" w:hAnsi="Arial" w:cs="Times New Roman"/>
      <w:b/>
      <w:sz w:val="24"/>
      <w:szCs w:val="20"/>
      <w:u w:val="single"/>
      <w:lang w:val="el-GR"/>
    </w:rPr>
  </w:style>
  <w:style w:type="paragraph" w:styleId="BodyText">
    <w:name w:val="Body Text"/>
    <w:basedOn w:val="Normal"/>
    <w:pPr>
      <w:tabs>
        <w:tab w:val="left" w:pos="600"/>
        <w:tab w:val="left" w:pos="1167"/>
        <w:tab w:val="left" w:pos="1734"/>
        <w:tab w:val="left" w:pos="2301"/>
      </w:tabs>
      <w:jc w:val="both"/>
    </w:pPr>
  </w:style>
  <w:style w:type="character" w:customStyle="1" w:styleId="BodyTextChar">
    <w:name w:val="Body Text Char"/>
    <w:basedOn w:val="DefaultParagraphFont"/>
    <w:rPr>
      <w:rFonts w:ascii="Arial" w:eastAsia="Times New Roman" w:hAnsi="Arial" w:cs="Times New Roman"/>
      <w:sz w:val="24"/>
      <w:szCs w:val="20"/>
      <w:lang w:val="el-GR"/>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4"/>
      <w:szCs w:val="20"/>
      <w:lang w:val="el-GR"/>
    </w:rPr>
  </w:style>
  <w:style w:type="character" w:styleId="PageNumber">
    <w:name w:val="page number"/>
    <w:basedOn w:val="DefaultParagraphFont"/>
  </w:style>
  <w:style w:type="paragraph" w:styleId="FootnoteText">
    <w:name w:val="footnote text"/>
    <w:basedOn w:val="Normal"/>
    <w:rPr>
      <w:sz w:val="20"/>
    </w:rPr>
  </w:style>
  <w:style w:type="character" w:customStyle="1" w:styleId="FootnoteTextChar">
    <w:name w:val="Footnote Text Char"/>
    <w:basedOn w:val="DefaultParagraphFont"/>
    <w:rPr>
      <w:rFonts w:ascii="Arial" w:eastAsia="Times New Roman" w:hAnsi="Arial" w:cs="Times New Roman"/>
      <w:sz w:val="20"/>
      <w:szCs w:val="20"/>
      <w:lang w:val="el-GR"/>
    </w:rPr>
  </w:style>
  <w:style w:type="character" w:styleId="FootnoteReference">
    <w:name w:val="footnote reference"/>
    <w:rPr>
      <w:position w:val="0"/>
      <w:vertAlign w:val="superscript"/>
    </w:rPr>
  </w:style>
  <w:style w:type="paragraph" w:styleId="BodyText2">
    <w:name w:val="Body Text 2"/>
    <w:basedOn w:val="Normal"/>
    <w:pPr>
      <w:spacing w:line="360" w:lineRule="auto"/>
      <w:jc w:val="both"/>
    </w:pPr>
    <w:rPr>
      <w:sz w:val="20"/>
    </w:rPr>
  </w:style>
  <w:style w:type="character" w:customStyle="1" w:styleId="BodyText2Char">
    <w:name w:val="Body Text 2 Char"/>
    <w:basedOn w:val="DefaultParagraphFont"/>
    <w:rPr>
      <w:rFonts w:ascii="Arial" w:eastAsia="Times New Roman" w:hAnsi="Arial" w:cs="Times New Roman"/>
      <w:sz w:val="20"/>
      <w:szCs w:val="20"/>
      <w:lang w:val="el-GR"/>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Arial" w:eastAsia="Times New Roman" w:hAnsi="Arial" w:cs="Times New Roman"/>
      <w:sz w:val="24"/>
      <w:szCs w:val="20"/>
      <w:lang w:val="el-GR"/>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l-GR"/>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lang w:val="el-GR"/>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val="el-GR"/>
    </w:rPr>
  </w:style>
  <w:style w:type="character" w:styleId="PlaceholderText">
    <w:name w:val="Placeholder Text"/>
    <w:rPr>
      <w:color w:val="808080"/>
    </w:rPr>
  </w:style>
  <w:style w:type="character" w:customStyle="1" w:styleId="toc-instrument-enum">
    <w:name w:val="toc-instrument-enum"/>
    <w:basedOn w:val="DefaultParagraphFont"/>
  </w:style>
  <w:style w:type="paragraph" w:styleId="ListParagraph">
    <w:name w:val="List Paragraph"/>
    <w:basedOn w:val="Normal"/>
    <w:pPr>
      <w:ind w:left="720"/>
    </w:pPr>
  </w:style>
  <w:style w:type="paragraph" w:styleId="Revision">
    <w:name w:val="Revision"/>
    <w:pPr>
      <w:suppressAutoHyphens/>
      <w:spacing w:after="0"/>
    </w:pPr>
    <w:rPr>
      <w:rFonts w:ascii="Arial" w:eastAsia="Times New Roman" w:hAnsi="Arial"/>
      <w:sz w:val="24"/>
      <w:szCs w:val="20"/>
      <w:lang w:val="el-GR"/>
    </w:rPr>
  </w:style>
  <w:style w:type="paragraph" w:styleId="BodyTextIndent2">
    <w:name w:val="Body Text Indent 2"/>
    <w:basedOn w:val="Normal"/>
    <w:pPr>
      <w:ind w:left="453" w:hanging="453"/>
    </w:pPr>
    <w:rPr>
      <w:szCs w:val="24"/>
      <w:lang w:eastAsia="zh-SG"/>
    </w:rPr>
  </w:style>
  <w:style w:type="character" w:customStyle="1" w:styleId="BodyTextIndent2Char">
    <w:name w:val="Body Text Indent 2 Char"/>
    <w:basedOn w:val="DefaultParagraphFont"/>
    <w:rPr>
      <w:rFonts w:ascii="Arial" w:eastAsia="Times New Roman" w:hAnsi="Arial" w:cs="Times New Roman"/>
      <w:sz w:val="24"/>
      <w:szCs w:val="24"/>
      <w:lang w:eastAsia="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Symeonidou  Nayia</dc:creator>
  <dc:description/>
  <cp:lastModifiedBy>user</cp:lastModifiedBy>
  <cp:revision>2</cp:revision>
  <cp:lastPrinted>2021-11-19T12:41:00Z</cp:lastPrinted>
  <dcterms:created xsi:type="dcterms:W3CDTF">2022-01-21T05:17:00Z</dcterms:created>
  <dcterms:modified xsi:type="dcterms:W3CDTF">2022-01-21T05:17:00Z</dcterms:modified>
</cp:coreProperties>
</file>