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2D73" w14:textId="77777777" w:rsidR="00B02B99" w:rsidRDefault="00B02B99">
      <w:pPr>
        <w:rPr>
          <w:rFonts w:ascii="Arial" w:hAnsi="Arial" w:cs="Arial"/>
          <w:sz w:val="28"/>
          <w:szCs w:val="28"/>
          <w:lang w:val="el-GR"/>
        </w:rPr>
      </w:pPr>
    </w:p>
    <w:p w14:paraId="354643E9" w14:textId="77777777" w:rsidR="00B02B99" w:rsidRDefault="00B02B99">
      <w:pPr>
        <w:rPr>
          <w:rFonts w:ascii="Arial" w:hAnsi="Arial" w:cs="Arial"/>
          <w:sz w:val="28"/>
          <w:szCs w:val="28"/>
          <w:lang w:val="el-GR"/>
        </w:rPr>
      </w:pPr>
      <w:r>
        <w:rPr>
          <w:rFonts w:ascii="Arial" w:hAnsi="Arial" w:cs="Arial"/>
          <w:sz w:val="28"/>
          <w:szCs w:val="28"/>
          <w:lang w:val="el-GR"/>
        </w:rPr>
        <w:t xml:space="preserve">Το υπόμνημα της ΟΣΕΟΚ προς τον υπουργό Οικονομικών και Μεταφορών </w:t>
      </w:r>
    </w:p>
    <w:p w14:paraId="63A7FEC9" w14:textId="77777777" w:rsidR="00B02B99" w:rsidRDefault="00B02B99">
      <w:pPr>
        <w:rPr>
          <w:rFonts w:ascii="Arial" w:hAnsi="Arial" w:cs="Arial"/>
          <w:sz w:val="28"/>
          <w:szCs w:val="28"/>
          <w:lang w:val="el-GR"/>
        </w:rPr>
      </w:pPr>
    </w:p>
    <w:p w14:paraId="3EE64740" w14:textId="77777777" w:rsidR="00054919" w:rsidRPr="00054919" w:rsidRDefault="00054919">
      <w:pPr>
        <w:rPr>
          <w:rFonts w:ascii="Arial" w:hAnsi="Arial" w:cs="Arial"/>
          <w:sz w:val="28"/>
          <w:szCs w:val="28"/>
          <w:lang w:val="el-GR"/>
        </w:rPr>
      </w:pPr>
      <w:r w:rsidRPr="00054919">
        <w:rPr>
          <w:rFonts w:ascii="Arial" w:hAnsi="Arial" w:cs="Arial"/>
          <w:sz w:val="28"/>
          <w:szCs w:val="28"/>
          <w:lang w:val="el-GR"/>
        </w:rPr>
        <w:t xml:space="preserve">Έντονη ανησυχία συνεχίζει να επικρατεί στο κατασκευαστικό κλάδο </w:t>
      </w:r>
      <w:r w:rsidR="00F84F68">
        <w:rPr>
          <w:rFonts w:ascii="Arial" w:hAnsi="Arial" w:cs="Arial"/>
          <w:sz w:val="28"/>
          <w:szCs w:val="28"/>
          <w:lang w:val="el-GR"/>
        </w:rPr>
        <w:t xml:space="preserve">  </w:t>
      </w:r>
      <w:r w:rsidRPr="00054919">
        <w:rPr>
          <w:rFonts w:ascii="Arial" w:hAnsi="Arial" w:cs="Arial"/>
          <w:sz w:val="28"/>
          <w:szCs w:val="28"/>
          <w:lang w:val="el-GR"/>
        </w:rPr>
        <w:t xml:space="preserve">από την συνεχιζόμενη αύξηση των τιμών των οικοδομικών υλικών.  </w:t>
      </w:r>
      <w:r w:rsidR="00F84F68">
        <w:rPr>
          <w:rFonts w:ascii="Arial" w:hAnsi="Arial" w:cs="Arial"/>
          <w:sz w:val="28"/>
          <w:szCs w:val="28"/>
          <w:lang w:val="el-GR"/>
        </w:rPr>
        <w:t xml:space="preserve">      </w:t>
      </w:r>
      <w:r w:rsidRPr="00054919">
        <w:rPr>
          <w:rFonts w:ascii="Arial" w:hAnsi="Arial" w:cs="Arial"/>
          <w:sz w:val="28"/>
          <w:szCs w:val="28"/>
          <w:lang w:val="el-GR"/>
        </w:rPr>
        <w:t xml:space="preserve">Οι Εργολήπτες περιγράφουν με μελανά χρώματα την κατάσταση που επικρατεί τους </w:t>
      </w:r>
      <w:r>
        <w:rPr>
          <w:rFonts w:ascii="Arial" w:hAnsi="Arial" w:cs="Arial"/>
          <w:sz w:val="28"/>
          <w:szCs w:val="28"/>
          <w:lang w:val="el-GR"/>
        </w:rPr>
        <w:t>τε</w:t>
      </w:r>
      <w:r w:rsidRPr="00054919">
        <w:rPr>
          <w:rFonts w:ascii="Arial" w:hAnsi="Arial" w:cs="Arial"/>
          <w:sz w:val="28"/>
          <w:szCs w:val="28"/>
          <w:lang w:val="el-GR"/>
        </w:rPr>
        <w:t xml:space="preserve">λευταίους μήνες και εκτιμούν ότι η κατάσταση είναι </w:t>
      </w:r>
      <w:r w:rsidR="00F84F68">
        <w:rPr>
          <w:rFonts w:ascii="Arial" w:hAnsi="Arial" w:cs="Arial"/>
          <w:sz w:val="28"/>
          <w:szCs w:val="28"/>
          <w:lang w:val="el-GR"/>
        </w:rPr>
        <w:t xml:space="preserve">     </w:t>
      </w:r>
      <w:r w:rsidRPr="00054919">
        <w:rPr>
          <w:rFonts w:ascii="Arial" w:hAnsi="Arial" w:cs="Arial"/>
          <w:sz w:val="28"/>
          <w:szCs w:val="28"/>
          <w:lang w:val="el-GR"/>
        </w:rPr>
        <w:t>μη αναστρέψιμη.</w:t>
      </w:r>
    </w:p>
    <w:p w14:paraId="2348411C" w14:textId="77777777" w:rsidR="00B02B99" w:rsidRDefault="00992F0B" w:rsidP="004C6E6D">
      <w:pPr>
        <w:rPr>
          <w:rFonts w:ascii="Arial" w:hAnsi="Arial" w:cs="Arial"/>
          <w:sz w:val="28"/>
          <w:szCs w:val="28"/>
          <w:lang w:val="el-GR"/>
        </w:rPr>
      </w:pPr>
      <w:r>
        <w:rPr>
          <w:rFonts w:ascii="Arial" w:hAnsi="Arial" w:cs="Arial"/>
          <w:sz w:val="28"/>
          <w:szCs w:val="28"/>
          <w:lang w:val="el-GR"/>
        </w:rPr>
        <w:t>Σημαντικές είναι οι</w:t>
      </w:r>
      <w:r w:rsidR="00054919">
        <w:rPr>
          <w:rFonts w:ascii="Arial" w:hAnsi="Arial" w:cs="Arial"/>
          <w:sz w:val="28"/>
          <w:szCs w:val="28"/>
          <w:lang w:val="el-GR"/>
        </w:rPr>
        <w:t xml:space="preserve"> αυξήσεις που καταγράφονται από τις αρχές του έτους στις τιμές των βασικών υλικών καθώς σε μερικές κατηγορίες </w:t>
      </w:r>
      <w:r>
        <w:rPr>
          <w:rFonts w:ascii="Arial" w:hAnsi="Arial" w:cs="Arial"/>
          <w:sz w:val="28"/>
          <w:szCs w:val="28"/>
          <w:lang w:val="el-GR"/>
        </w:rPr>
        <w:t>η αύξηση αγγίζει το 75%.</w:t>
      </w:r>
      <w:r w:rsidR="004C6E6D" w:rsidRPr="004C6E6D">
        <w:rPr>
          <w:rFonts w:ascii="Arial" w:hAnsi="Arial" w:cs="Arial"/>
          <w:sz w:val="28"/>
          <w:szCs w:val="28"/>
          <w:lang w:val="el-GR"/>
        </w:rPr>
        <w:t xml:space="preserve"> </w:t>
      </w:r>
    </w:p>
    <w:p w14:paraId="25F6A75D" w14:textId="77777777" w:rsidR="00247239" w:rsidRDefault="004C6E6D" w:rsidP="00247239">
      <w:pPr>
        <w:rPr>
          <w:rFonts w:ascii="Arial" w:hAnsi="Arial" w:cs="Arial"/>
          <w:sz w:val="28"/>
          <w:szCs w:val="28"/>
          <w:lang w:val="el-GR"/>
        </w:rPr>
      </w:pPr>
      <w:r>
        <w:rPr>
          <w:rFonts w:ascii="Arial" w:hAnsi="Arial" w:cs="Arial"/>
          <w:sz w:val="28"/>
          <w:szCs w:val="28"/>
          <w:lang w:val="el-GR"/>
        </w:rPr>
        <w:t xml:space="preserve"> </w:t>
      </w:r>
      <w:r w:rsidR="00247239">
        <w:rPr>
          <w:rFonts w:ascii="Arial" w:hAnsi="Arial" w:cs="Arial"/>
          <w:sz w:val="28"/>
          <w:szCs w:val="28"/>
          <w:lang w:val="el-GR"/>
        </w:rPr>
        <w:t>Η ΟΣΕΟΚ έχει υποβάλει σειρά από άμεσα και έμμεσα μέτρα τα οποία υποβλήθηκαν στους δύο Υπουργούς, Οικονομικών,  Μεταφορών, Επικοινωνιών και  Έργων από τον Ιούνιο 2021 για εξεύρεση λύσεων   και λήψη αποφάσεων που θα βοηθήσουν τον κατασκευαστικό κλάδο    με απώτερο σκοπό την αποφυγή μη ολοκλήρωσης των Έργων. Τα πιο πάνω θα συζητηθούν στην διυπουργική συνάντηση με τους Έντιμους Υπουργούς στις 2 Νοεμβρίου 2021 όπου οι Εργολάβοι αναμένουν να ληφθούν αποφάσεις οι οποίες θα βοηθήσουν πραγματικά τον κλάδο και γενικότερα την οικοδομική βιομηχανία.</w:t>
      </w:r>
      <w:r w:rsidR="00247239" w:rsidRPr="000B18E8">
        <w:rPr>
          <w:rFonts w:ascii="Arial" w:hAnsi="Arial" w:cs="Arial"/>
          <w:sz w:val="28"/>
          <w:szCs w:val="28"/>
          <w:lang w:val="el-GR"/>
        </w:rPr>
        <w:t xml:space="preserve"> </w:t>
      </w:r>
    </w:p>
    <w:p w14:paraId="027F6C9C" w14:textId="77777777" w:rsidR="000B18E8" w:rsidRDefault="009A6A78" w:rsidP="004C6E6D">
      <w:pPr>
        <w:rPr>
          <w:rFonts w:ascii="Arial" w:hAnsi="Arial" w:cs="Arial"/>
          <w:sz w:val="28"/>
          <w:szCs w:val="28"/>
          <w:lang w:val="el-GR"/>
        </w:rPr>
      </w:pPr>
      <w:r>
        <w:rPr>
          <w:rFonts w:ascii="Arial" w:hAnsi="Arial" w:cs="Arial"/>
          <w:sz w:val="28"/>
          <w:szCs w:val="28"/>
          <w:lang w:val="el-GR"/>
        </w:rPr>
        <w:t>Η μη θετική αντιμ</w:t>
      </w:r>
      <w:r w:rsidR="00626B2D">
        <w:rPr>
          <w:rFonts w:ascii="Arial" w:hAnsi="Arial" w:cs="Arial"/>
          <w:sz w:val="28"/>
          <w:szCs w:val="28"/>
          <w:lang w:val="el-GR"/>
        </w:rPr>
        <w:t>ετώπιση του θέματος από το Γενικό Λογιστήριο</w:t>
      </w:r>
      <w:r>
        <w:rPr>
          <w:rFonts w:ascii="Arial" w:hAnsi="Arial" w:cs="Arial"/>
          <w:sz w:val="28"/>
          <w:szCs w:val="28"/>
          <w:lang w:val="el-GR"/>
        </w:rPr>
        <w:t xml:space="preserve"> θα επιφέρει επιπρόσθετο κόστος στο Κράτος, στους φορολογούμενους αλλά και στους </w:t>
      </w:r>
      <w:r w:rsidR="006703A3">
        <w:rPr>
          <w:rFonts w:ascii="Arial" w:hAnsi="Arial" w:cs="Arial"/>
          <w:sz w:val="28"/>
          <w:szCs w:val="28"/>
          <w:lang w:val="el-GR"/>
        </w:rPr>
        <w:t xml:space="preserve">Εργολήπτες. </w:t>
      </w:r>
      <w:r>
        <w:rPr>
          <w:rFonts w:ascii="Arial" w:hAnsi="Arial" w:cs="Arial"/>
          <w:sz w:val="28"/>
          <w:szCs w:val="28"/>
          <w:lang w:val="el-GR"/>
        </w:rPr>
        <w:t xml:space="preserve"> </w:t>
      </w:r>
      <w:r w:rsidR="004C6E6D">
        <w:rPr>
          <w:rFonts w:ascii="Arial" w:hAnsi="Arial" w:cs="Arial"/>
          <w:sz w:val="28"/>
          <w:szCs w:val="28"/>
          <w:lang w:val="el-GR"/>
        </w:rPr>
        <w:t>Οι κατασκευαστές κρούουν τον κώδωνα του κινδύνου για την βιωσιμότητα των επιχειρήσεων</w:t>
      </w:r>
      <w:r w:rsidR="000B18E8">
        <w:rPr>
          <w:rFonts w:ascii="Arial" w:hAnsi="Arial" w:cs="Arial"/>
          <w:sz w:val="28"/>
          <w:szCs w:val="28"/>
          <w:lang w:val="el-GR"/>
        </w:rPr>
        <w:t>, μη ολοκλήρωσης των Έργων</w:t>
      </w:r>
      <w:r w:rsidR="004C6E6D">
        <w:rPr>
          <w:rFonts w:ascii="Arial" w:hAnsi="Arial" w:cs="Arial"/>
          <w:sz w:val="28"/>
          <w:szCs w:val="28"/>
          <w:lang w:val="el-GR"/>
        </w:rPr>
        <w:t xml:space="preserve"> αλλά και για τον κίνδυνο απώλειας εκατοντάδων θέσεων εργασίας.</w:t>
      </w:r>
    </w:p>
    <w:p w14:paraId="6D765DA2" w14:textId="77777777" w:rsidR="00F113E1" w:rsidRPr="00F113E1" w:rsidRDefault="00F113E1" w:rsidP="000B18E8">
      <w:pPr>
        <w:rPr>
          <w:rFonts w:ascii="Arial" w:hAnsi="Arial" w:cs="Arial"/>
          <w:b/>
          <w:sz w:val="28"/>
          <w:szCs w:val="28"/>
          <w:u w:val="single"/>
          <w:lang w:val="el-GR"/>
        </w:rPr>
      </w:pPr>
      <w:r w:rsidRPr="00F113E1">
        <w:rPr>
          <w:rFonts w:ascii="Arial" w:hAnsi="Arial" w:cs="Arial"/>
          <w:b/>
          <w:sz w:val="28"/>
          <w:szCs w:val="28"/>
          <w:u w:val="single"/>
          <w:lang w:val="el-GR"/>
        </w:rPr>
        <w:t>ΑΜΕΣΑ ΜΕΤΡΑ</w:t>
      </w:r>
    </w:p>
    <w:p w14:paraId="70F2FC33" w14:textId="77777777" w:rsidR="004366A8" w:rsidRPr="00F87B9C" w:rsidRDefault="000B07CD" w:rsidP="006D74FE">
      <w:pPr>
        <w:pStyle w:val="ListParagraph"/>
        <w:numPr>
          <w:ilvl w:val="0"/>
          <w:numId w:val="13"/>
        </w:numPr>
        <w:rPr>
          <w:rFonts w:ascii="Arial" w:hAnsi="Arial" w:cs="Arial"/>
          <w:sz w:val="24"/>
          <w:szCs w:val="24"/>
          <w:lang w:val="el-GR"/>
        </w:rPr>
      </w:pPr>
      <w:r w:rsidRPr="00F87B9C">
        <w:rPr>
          <w:rFonts w:ascii="Arial" w:hAnsi="Arial" w:cs="Arial"/>
          <w:sz w:val="28"/>
          <w:szCs w:val="28"/>
          <w:lang w:val="el-GR"/>
        </w:rPr>
        <w:t>τ</w:t>
      </w:r>
      <w:r w:rsidR="000B18E8" w:rsidRPr="00F87B9C">
        <w:rPr>
          <w:rFonts w:ascii="Arial" w:hAnsi="Arial" w:cs="Arial"/>
          <w:sz w:val="28"/>
          <w:szCs w:val="28"/>
          <w:lang w:val="el-GR"/>
        </w:rPr>
        <w:t>ο αίτημα για παραχώρηση</w:t>
      </w:r>
      <w:r w:rsidR="004E582F">
        <w:rPr>
          <w:rFonts w:ascii="Arial" w:hAnsi="Arial" w:cs="Arial"/>
          <w:sz w:val="28"/>
          <w:szCs w:val="28"/>
          <w:lang w:val="el-GR"/>
        </w:rPr>
        <w:t xml:space="preserve"> 70 </w:t>
      </w:r>
      <w:r w:rsidR="000B18E8" w:rsidRPr="00F87B9C">
        <w:rPr>
          <w:rFonts w:ascii="Arial" w:hAnsi="Arial" w:cs="Arial"/>
          <w:sz w:val="28"/>
          <w:szCs w:val="28"/>
          <w:lang w:val="el-GR"/>
        </w:rPr>
        <w:t xml:space="preserve"> ημερών για παράταση χρόνου σε οριζόντια εφαρμογή θα βοηθήσει τους Εργολήπτες</w:t>
      </w:r>
      <w:r w:rsidR="004366A8" w:rsidRPr="00F87B9C">
        <w:rPr>
          <w:rFonts w:ascii="Arial" w:hAnsi="Arial" w:cs="Arial"/>
          <w:sz w:val="28"/>
          <w:szCs w:val="28"/>
          <w:lang w:val="el-GR"/>
        </w:rPr>
        <w:t xml:space="preserve">, </w:t>
      </w:r>
    </w:p>
    <w:p w14:paraId="34C2141C" w14:textId="77777777" w:rsidR="00F87B9C" w:rsidRPr="00F87B9C" w:rsidRDefault="00F87B9C" w:rsidP="00F87B9C">
      <w:pPr>
        <w:pStyle w:val="ListParagraph"/>
        <w:rPr>
          <w:rFonts w:ascii="Arial" w:hAnsi="Arial" w:cs="Arial"/>
          <w:sz w:val="24"/>
          <w:szCs w:val="24"/>
          <w:lang w:val="el-GR"/>
        </w:rPr>
      </w:pPr>
    </w:p>
    <w:p w14:paraId="148A3916" w14:textId="77777777" w:rsidR="000B18E8" w:rsidRDefault="000B18E8" w:rsidP="00D01BF4">
      <w:pPr>
        <w:pStyle w:val="ListParagraph"/>
        <w:numPr>
          <w:ilvl w:val="0"/>
          <w:numId w:val="13"/>
        </w:numPr>
        <w:rPr>
          <w:rFonts w:ascii="Arial" w:hAnsi="Arial" w:cs="Arial"/>
          <w:sz w:val="28"/>
          <w:szCs w:val="28"/>
          <w:lang w:val="el-GR"/>
        </w:rPr>
      </w:pPr>
      <w:r w:rsidRPr="00D01BF4">
        <w:rPr>
          <w:rFonts w:ascii="Arial" w:hAnsi="Arial" w:cs="Arial"/>
          <w:sz w:val="28"/>
          <w:szCs w:val="28"/>
          <w:lang w:val="el-GR"/>
        </w:rPr>
        <w:t>εκεί όπου αποδεδειγμένα, έργα έχουν πραγματικό πρόβλημα ολοκλήρωσης και το πρόβλημα οφείλεται καθαρά στις ραγδαίες αυξήσεις, θα γίνεται ξεχωριστή κατά περίπτωση μελέτη και σε συνεννόηση με τα Αρμόδια Θεσμικά Όργανα να γίνονται οι ανάλογες ενέργειες για εξεύρεση της καλύτερης δυνατής λύσης</w:t>
      </w:r>
      <w:r w:rsidR="0085601F" w:rsidRPr="00D01BF4">
        <w:rPr>
          <w:rFonts w:ascii="Arial" w:hAnsi="Arial" w:cs="Arial"/>
          <w:sz w:val="28"/>
          <w:szCs w:val="28"/>
          <w:lang w:val="el-GR"/>
        </w:rPr>
        <w:t xml:space="preserve"> </w:t>
      </w:r>
      <w:r w:rsidR="004366A8">
        <w:rPr>
          <w:rFonts w:ascii="Arial" w:hAnsi="Arial" w:cs="Arial"/>
          <w:sz w:val="28"/>
          <w:szCs w:val="28"/>
          <w:lang w:val="el-GR"/>
        </w:rPr>
        <w:t xml:space="preserve">   </w:t>
      </w:r>
      <w:r w:rsidR="0085601F" w:rsidRPr="00D01BF4">
        <w:rPr>
          <w:rFonts w:ascii="Arial" w:hAnsi="Arial" w:cs="Arial"/>
          <w:sz w:val="28"/>
          <w:szCs w:val="28"/>
          <w:lang w:val="el-GR"/>
        </w:rPr>
        <w:t>με απώτερο σκοπό των ολοκλήρωση τω</w:t>
      </w:r>
      <w:r w:rsidR="00D01BF4" w:rsidRPr="00D01BF4">
        <w:rPr>
          <w:rFonts w:ascii="Arial" w:hAnsi="Arial" w:cs="Arial"/>
          <w:sz w:val="28"/>
          <w:szCs w:val="28"/>
          <w:lang w:val="el-GR"/>
        </w:rPr>
        <w:t>ν Έργων</w:t>
      </w:r>
    </w:p>
    <w:p w14:paraId="15BCBC57" w14:textId="77777777" w:rsidR="00F84F68" w:rsidRPr="00F84F68" w:rsidRDefault="00F84F68" w:rsidP="00F84F68">
      <w:pPr>
        <w:pStyle w:val="ListParagraph"/>
        <w:rPr>
          <w:rFonts w:ascii="Arial" w:hAnsi="Arial" w:cs="Arial"/>
          <w:sz w:val="28"/>
          <w:szCs w:val="28"/>
          <w:lang w:val="el-GR"/>
        </w:rPr>
      </w:pPr>
    </w:p>
    <w:p w14:paraId="049203B1" w14:textId="77777777" w:rsidR="00F84F68" w:rsidRPr="00F84F68" w:rsidRDefault="002A3867" w:rsidP="00F84F68">
      <w:pPr>
        <w:pStyle w:val="ListParagraph"/>
        <w:numPr>
          <w:ilvl w:val="0"/>
          <w:numId w:val="13"/>
        </w:numPr>
        <w:rPr>
          <w:rFonts w:ascii="Arial" w:hAnsi="Arial" w:cs="Arial"/>
          <w:sz w:val="28"/>
          <w:szCs w:val="28"/>
          <w:lang w:val="el-GR"/>
        </w:rPr>
      </w:pPr>
      <w:r>
        <w:rPr>
          <w:rFonts w:ascii="Arial" w:hAnsi="Arial" w:cs="Arial"/>
          <w:sz w:val="28"/>
          <w:szCs w:val="28"/>
          <w:lang w:val="el-GR"/>
        </w:rPr>
        <w:t>τ</w:t>
      </w:r>
      <w:r w:rsidR="000B07CD">
        <w:rPr>
          <w:rFonts w:ascii="Arial" w:hAnsi="Arial" w:cs="Arial"/>
          <w:sz w:val="28"/>
          <w:szCs w:val="28"/>
          <w:lang w:val="el-GR"/>
        </w:rPr>
        <w:t>η</w:t>
      </w:r>
      <w:r>
        <w:rPr>
          <w:rFonts w:ascii="Arial" w:hAnsi="Arial" w:cs="Arial"/>
          <w:sz w:val="28"/>
          <w:szCs w:val="28"/>
          <w:lang w:val="el-GR"/>
        </w:rPr>
        <w:t>ν</w:t>
      </w:r>
      <w:r w:rsidR="00F84F68" w:rsidRPr="00F84F68">
        <w:rPr>
          <w:rFonts w:ascii="Arial" w:hAnsi="Arial" w:cs="Arial"/>
          <w:sz w:val="28"/>
          <w:szCs w:val="28"/>
          <w:lang w:val="el-GR"/>
        </w:rPr>
        <w:t xml:space="preserve"> αναθεώρηση της Φόρμουλας Διακυμάνσεων στα Εργατικά και </w:t>
      </w:r>
      <w:r w:rsidR="000B07CD">
        <w:rPr>
          <w:rFonts w:ascii="Arial" w:hAnsi="Arial" w:cs="Arial"/>
          <w:sz w:val="28"/>
          <w:szCs w:val="28"/>
          <w:lang w:val="el-GR"/>
        </w:rPr>
        <w:t xml:space="preserve"> </w:t>
      </w:r>
      <w:r w:rsidR="00F84F68" w:rsidRPr="00F84F68">
        <w:rPr>
          <w:rFonts w:ascii="Arial" w:hAnsi="Arial" w:cs="Arial"/>
          <w:sz w:val="28"/>
          <w:szCs w:val="28"/>
          <w:lang w:val="el-GR"/>
        </w:rPr>
        <w:t xml:space="preserve">τις Τιμές των Υλικών στα Συμβόλαια για Έργα του Δημοσίου, </w:t>
      </w:r>
      <w:r w:rsidR="000B07CD">
        <w:rPr>
          <w:rFonts w:ascii="Arial" w:hAnsi="Arial" w:cs="Arial"/>
          <w:sz w:val="28"/>
          <w:szCs w:val="28"/>
          <w:lang w:val="el-GR"/>
        </w:rPr>
        <w:t xml:space="preserve">      </w:t>
      </w:r>
      <w:r w:rsidR="00F84F68" w:rsidRPr="00F84F68">
        <w:rPr>
          <w:rFonts w:ascii="Arial" w:hAnsi="Arial" w:cs="Arial"/>
          <w:sz w:val="28"/>
          <w:szCs w:val="28"/>
          <w:lang w:val="el-GR"/>
        </w:rPr>
        <w:t>με την εισαγωγή εξειδικευμένων υλικών και αναθεώρηση των συντελεστών βαρύτητας που αντιστοιχεί σε κάθε οικοδομικό υλικό.</w:t>
      </w:r>
    </w:p>
    <w:p w14:paraId="70A4459C" w14:textId="77777777" w:rsidR="004009D0" w:rsidRDefault="004009D0" w:rsidP="000B18E8">
      <w:pPr>
        <w:rPr>
          <w:rFonts w:ascii="Arial" w:hAnsi="Arial" w:cs="Arial"/>
          <w:sz w:val="28"/>
          <w:szCs w:val="28"/>
          <w:lang w:val="el-GR"/>
        </w:rPr>
      </w:pPr>
    </w:p>
    <w:p w14:paraId="690F673B" w14:textId="77777777" w:rsidR="004C3382" w:rsidRDefault="004C3382" w:rsidP="000B18E8">
      <w:pPr>
        <w:rPr>
          <w:rFonts w:ascii="Arial" w:hAnsi="Arial" w:cs="Arial"/>
          <w:sz w:val="28"/>
          <w:szCs w:val="28"/>
          <w:lang w:val="el-GR"/>
        </w:rPr>
      </w:pPr>
      <w:r>
        <w:rPr>
          <w:rFonts w:ascii="Arial" w:hAnsi="Arial" w:cs="Arial"/>
          <w:sz w:val="28"/>
          <w:szCs w:val="28"/>
          <w:lang w:val="el-GR"/>
        </w:rPr>
        <w:t>Παροχή έκτακτων φορολογικών ελαφρύνσεων όπως</w:t>
      </w:r>
    </w:p>
    <w:p w14:paraId="0EF8427D" w14:textId="77777777" w:rsidR="004C3382" w:rsidRDefault="004C3382" w:rsidP="00D01BF4">
      <w:pPr>
        <w:pStyle w:val="ListParagraph"/>
        <w:numPr>
          <w:ilvl w:val="0"/>
          <w:numId w:val="13"/>
        </w:numPr>
        <w:rPr>
          <w:rFonts w:ascii="Arial" w:hAnsi="Arial" w:cs="Arial"/>
          <w:sz w:val="28"/>
          <w:szCs w:val="28"/>
          <w:lang w:val="el-GR"/>
        </w:rPr>
      </w:pPr>
      <w:r w:rsidRPr="00D01BF4">
        <w:rPr>
          <w:rFonts w:ascii="Arial" w:hAnsi="Arial" w:cs="Arial"/>
          <w:sz w:val="28"/>
          <w:szCs w:val="28"/>
          <w:lang w:val="el-GR"/>
        </w:rPr>
        <w:t>Επέκταση της εφαρμογής του άρθρου 11Β του περί Φ.Π.Α, Νόμου</w:t>
      </w:r>
      <w:r w:rsidR="00D01BF4" w:rsidRPr="00D01BF4">
        <w:rPr>
          <w:rFonts w:ascii="Arial" w:hAnsi="Arial" w:cs="Arial"/>
          <w:sz w:val="28"/>
          <w:szCs w:val="28"/>
          <w:lang w:val="el-GR"/>
        </w:rPr>
        <w:t xml:space="preserve"> σε οριζόντια βάση</w:t>
      </w:r>
      <w:r w:rsidRPr="00D01BF4">
        <w:rPr>
          <w:rFonts w:ascii="Arial" w:hAnsi="Arial" w:cs="Arial"/>
          <w:sz w:val="28"/>
          <w:szCs w:val="28"/>
          <w:lang w:val="el-GR"/>
        </w:rPr>
        <w:t xml:space="preserve"> </w:t>
      </w:r>
    </w:p>
    <w:p w14:paraId="651B7925" w14:textId="77777777" w:rsidR="004366A8" w:rsidRDefault="004366A8" w:rsidP="004366A8">
      <w:pPr>
        <w:pStyle w:val="ListParagraph"/>
        <w:rPr>
          <w:rFonts w:ascii="Arial" w:hAnsi="Arial" w:cs="Arial"/>
          <w:sz w:val="28"/>
          <w:szCs w:val="28"/>
          <w:lang w:val="el-GR"/>
        </w:rPr>
      </w:pPr>
    </w:p>
    <w:p w14:paraId="6A036212" w14:textId="77777777" w:rsidR="00F113E1" w:rsidRDefault="00D01BF4" w:rsidP="007F4305">
      <w:pPr>
        <w:pStyle w:val="ListParagraph"/>
        <w:numPr>
          <w:ilvl w:val="0"/>
          <w:numId w:val="13"/>
        </w:numPr>
        <w:rPr>
          <w:rFonts w:ascii="Arial" w:hAnsi="Arial" w:cs="Arial"/>
          <w:sz w:val="28"/>
          <w:szCs w:val="28"/>
          <w:lang w:val="el-GR"/>
        </w:rPr>
      </w:pPr>
      <w:r w:rsidRPr="00D01BF4">
        <w:rPr>
          <w:rFonts w:ascii="Arial" w:hAnsi="Arial" w:cs="Arial"/>
          <w:sz w:val="28"/>
          <w:szCs w:val="28"/>
          <w:lang w:val="el-GR"/>
        </w:rPr>
        <w:t>Παροχή έκτακτων φορολογικών ελαφρύνσεων</w:t>
      </w:r>
    </w:p>
    <w:p w14:paraId="1ED64061" w14:textId="77777777" w:rsidR="002A3867" w:rsidRPr="002A3867" w:rsidRDefault="002A3867" w:rsidP="002A3867">
      <w:pPr>
        <w:pStyle w:val="ListParagraph"/>
        <w:rPr>
          <w:rFonts w:ascii="Arial" w:hAnsi="Arial" w:cs="Arial"/>
          <w:sz w:val="28"/>
          <w:szCs w:val="28"/>
          <w:lang w:val="el-GR"/>
        </w:rPr>
      </w:pPr>
    </w:p>
    <w:p w14:paraId="1C709C09" w14:textId="77777777" w:rsidR="002A3867" w:rsidRPr="00D01BF4" w:rsidRDefault="002A3867" w:rsidP="007F4305">
      <w:pPr>
        <w:pStyle w:val="ListParagraph"/>
        <w:numPr>
          <w:ilvl w:val="0"/>
          <w:numId w:val="13"/>
        </w:numPr>
        <w:rPr>
          <w:rFonts w:ascii="Arial" w:hAnsi="Arial" w:cs="Arial"/>
          <w:sz w:val="28"/>
          <w:szCs w:val="28"/>
          <w:lang w:val="el-GR"/>
        </w:rPr>
      </w:pPr>
      <w:r>
        <w:rPr>
          <w:rFonts w:ascii="Arial" w:hAnsi="Arial" w:cs="Arial"/>
          <w:sz w:val="28"/>
          <w:szCs w:val="28"/>
          <w:lang w:val="el-GR"/>
        </w:rPr>
        <w:t>Συνέχιση της παραγωγής του Δείκτη Ωρομίσθιων Οικοδομικών Επαγγελμάτων</w:t>
      </w:r>
    </w:p>
    <w:p w14:paraId="271ED419" w14:textId="77777777" w:rsidR="00F113E1" w:rsidRDefault="00F113E1" w:rsidP="000B18E8">
      <w:pPr>
        <w:rPr>
          <w:rFonts w:ascii="Arial" w:hAnsi="Arial" w:cs="Arial"/>
          <w:sz w:val="28"/>
          <w:szCs w:val="28"/>
          <w:lang w:val="el-GR"/>
        </w:rPr>
      </w:pPr>
    </w:p>
    <w:p w14:paraId="64BB79DA" w14:textId="77777777" w:rsidR="00F113E1" w:rsidRPr="004009D0" w:rsidRDefault="00D01BF4" w:rsidP="00D01BF4">
      <w:pPr>
        <w:ind w:left="360"/>
        <w:rPr>
          <w:rFonts w:ascii="Arial" w:hAnsi="Arial" w:cs="Arial"/>
          <w:b/>
          <w:sz w:val="28"/>
          <w:szCs w:val="28"/>
          <w:lang w:val="el-GR"/>
        </w:rPr>
      </w:pPr>
      <w:r w:rsidRPr="004009D0">
        <w:rPr>
          <w:rFonts w:ascii="Arial" w:hAnsi="Arial" w:cs="Arial"/>
          <w:b/>
          <w:sz w:val="28"/>
          <w:szCs w:val="28"/>
          <w:lang w:val="el-GR"/>
        </w:rPr>
        <w:t>Μεσοπρόθεσμα να ακολουθήσουν τα πιο κάτω:</w:t>
      </w:r>
    </w:p>
    <w:p w14:paraId="073E97EF" w14:textId="77777777" w:rsidR="002A3867" w:rsidRDefault="00D01BF4" w:rsidP="002A3867">
      <w:pPr>
        <w:ind w:left="360"/>
        <w:rPr>
          <w:rFonts w:ascii="Arial" w:hAnsi="Arial" w:cs="Arial"/>
          <w:sz w:val="28"/>
          <w:szCs w:val="28"/>
          <w:lang w:val="el-GR"/>
        </w:rPr>
      </w:pPr>
      <w:r>
        <w:rPr>
          <w:rFonts w:ascii="Arial" w:hAnsi="Arial" w:cs="Arial"/>
          <w:sz w:val="28"/>
          <w:szCs w:val="28"/>
          <w:lang w:val="el-GR"/>
        </w:rPr>
        <w:t>•</w:t>
      </w:r>
      <w:r w:rsidRPr="00D01BF4">
        <w:rPr>
          <w:rFonts w:ascii="Arial" w:hAnsi="Arial" w:cs="Arial"/>
          <w:sz w:val="28"/>
          <w:szCs w:val="28"/>
          <w:lang w:val="el-GR"/>
        </w:rPr>
        <w:t xml:space="preserve"> </w:t>
      </w:r>
      <w:r w:rsidR="002A3867">
        <w:rPr>
          <w:rFonts w:ascii="Arial" w:hAnsi="Arial" w:cs="Arial"/>
          <w:sz w:val="28"/>
          <w:szCs w:val="28"/>
          <w:lang w:val="el-GR"/>
        </w:rPr>
        <w:t>χάραξη πολιτικής και κατευθυντήριων γραμμών / συστάσεων από το Κράτος, σε ότι αφορά τα δικά του (υπό υλοποίηση ή υπό σχεδιασμό) έργα, οι οποίες θα αποτελέσουν οδηγό και για τον ιδιωτικό τομέα</w:t>
      </w:r>
    </w:p>
    <w:p w14:paraId="07576958" w14:textId="77777777" w:rsidR="00D01BF4" w:rsidRDefault="002A3867" w:rsidP="002A3867">
      <w:pPr>
        <w:ind w:left="360"/>
        <w:rPr>
          <w:rFonts w:ascii="Arial" w:hAnsi="Arial" w:cs="Arial"/>
          <w:sz w:val="28"/>
          <w:szCs w:val="28"/>
          <w:lang w:val="el-GR"/>
        </w:rPr>
      </w:pPr>
      <w:r>
        <w:rPr>
          <w:rFonts w:ascii="Arial" w:hAnsi="Arial" w:cs="Arial"/>
          <w:sz w:val="28"/>
          <w:szCs w:val="28"/>
          <w:lang w:val="el-GR"/>
        </w:rPr>
        <w:t xml:space="preserve">▪ </w:t>
      </w:r>
      <w:r w:rsidR="00D01BF4">
        <w:rPr>
          <w:rFonts w:ascii="Arial" w:hAnsi="Arial" w:cs="Arial"/>
          <w:sz w:val="28"/>
          <w:szCs w:val="28"/>
          <w:lang w:val="el-GR"/>
        </w:rPr>
        <w:t>απορρόφηση όλων των κονδυλίων από Ευρωπαϊκά προγράμματα για νέα έργα</w:t>
      </w:r>
    </w:p>
    <w:p w14:paraId="3F710D51" w14:textId="77777777" w:rsidR="00D01BF4" w:rsidRDefault="00D01BF4" w:rsidP="00D01BF4">
      <w:pPr>
        <w:ind w:left="360"/>
        <w:rPr>
          <w:rFonts w:ascii="Arial" w:hAnsi="Arial" w:cs="Arial"/>
          <w:sz w:val="28"/>
          <w:szCs w:val="28"/>
          <w:lang w:val="el-GR"/>
        </w:rPr>
      </w:pPr>
      <w:r>
        <w:rPr>
          <w:rFonts w:ascii="Arial" w:hAnsi="Arial" w:cs="Arial"/>
          <w:sz w:val="28"/>
          <w:szCs w:val="28"/>
          <w:lang w:val="el-GR"/>
        </w:rPr>
        <w:t xml:space="preserve">• </w:t>
      </w:r>
      <w:r w:rsidR="004366A8">
        <w:rPr>
          <w:rFonts w:ascii="Arial" w:hAnsi="Arial" w:cs="Arial"/>
          <w:sz w:val="28"/>
          <w:szCs w:val="28"/>
          <w:lang w:val="el-GR"/>
        </w:rPr>
        <w:t>α</w:t>
      </w:r>
      <w:r>
        <w:rPr>
          <w:rFonts w:ascii="Arial" w:hAnsi="Arial" w:cs="Arial"/>
          <w:sz w:val="28"/>
          <w:szCs w:val="28"/>
          <w:lang w:val="el-GR"/>
        </w:rPr>
        <w:t>ύξηση του ποσοστού υλοποίησης του κρατικού προϋπολογισμού σε</w:t>
      </w:r>
      <w:r w:rsidR="004366A8">
        <w:rPr>
          <w:rFonts w:ascii="Arial" w:hAnsi="Arial" w:cs="Arial"/>
          <w:sz w:val="28"/>
          <w:szCs w:val="28"/>
          <w:lang w:val="el-GR"/>
        </w:rPr>
        <w:t xml:space="preserve"> έργα του κατασκευαστικού τομέα, το οποίο παραμένει σε πολύ χαμηλό επίπεδο (28%)</w:t>
      </w:r>
    </w:p>
    <w:p w14:paraId="6F18A6AD" w14:textId="77777777" w:rsidR="004366A8" w:rsidRDefault="004366A8" w:rsidP="00D01BF4">
      <w:pPr>
        <w:ind w:left="360"/>
        <w:rPr>
          <w:rFonts w:ascii="Arial" w:hAnsi="Arial" w:cs="Arial"/>
          <w:sz w:val="28"/>
          <w:szCs w:val="28"/>
          <w:lang w:val="el-GR"/>
        </w:rPr>
      </w:pPr>
      <w:r>
        <w:rPr>
          <w:rFonts w:ascii="Arial" w:hAnsi="Arial" w:cs="Arial"/>
          <w:sz w:val="28"/>
          <w:szCs w:val="28"/>
          <w:lang w:val="el-GR"/>
        </w:rPr>
        <w:t>• επανεκτίμηση της αξίας των υπό προκήρυξη έργων</w:t>
      </w:r>
    </w:p>
    <w:p w14:paraId="1FBF3B47" w14:textId="77777777" w:rsidR="004009D0" w:rsidRPr="004009D0" w:rsidRDefault="004009D0" w:rsidP="004009D0">
      <w:pPr>
        <w:ind w:left="360"/>
        <w:rPr>
          <w:rFonts w:ascii="Arial" w:hAnsi="Arial" w:cs="Arial"/>
          <w:sz w:val="28"/>
          <w:szCs w:val="28"/>
          <w:lang w:val="el-GR"/>
        </w:rPr>
      </w:pPr>
      <w:r w:rsidRPr="004009D0">
        <w:rPr>
          <w:rFonts w:ascii="Arial" w:hAnsi="Arial" w:cs="Arial"/>
          <w:sz w:val="28"/>
          <w:szCs w:val="28"/>
          <w:lang w:val="el-GR"/>
        </w:rPr>
        <w:t xml:space="preserve">• πιστωτική επέκτασης για τους αναίτιους επηρεαζόμενους (νοικοκυριά, εργολάβους, υπεργολάβους), η οποία μπορεί να υποστηρίζεται από </w:t>
      </w:r>
      <w:proofErr w:type="spellStart"/>
      <w:r w:rsidRPr="004009D0">
        <w:rPr>
          <w:rFonts w:ascii="Arial" w:hAnsi="Arial" w:cs="Arial"/>
          <w:sz w:val="28"/>
          <w:szCs w:val="28"/>
          <w:lang w:val="el-GR"/>
        </w:rPr>
        <w:t>στοχευμένο</w:t>
      </w:r>
      <w:proofErr w:type="spellEnd"/>
      <w:r w:rsidRPr="004009D0">
        <w:rPr>
          <w:rFonts w:ascii="Arial" w:hAnsi="Arial" w:cs="Arial"/>
          <w:sz w:val="28"/>
          <w:szCs w:val="28"/>
          <w:lang w:val="el-GR"/>
        </w:rPr>
        <w:t xml:space="preserve"> σχέδιο κρατικών ενισχύσεων</w:t>
      </w:r>
    </w:p>
    <w:p w14:paraId="0651D329" w14:textId="77777777" w:rsidR="004009D0" w:rsidRDefault="004009D0" w:rsidP="004009D0">
      <w:pPr>
        <w:ind w:left="360"/>
        <w:rPr>
          <w:rFonts w:ascii="Arial" w:hAnsi="Arial" w:cs="Arial"/>
          <w:sz w:val="28"/>
          <w:szCs w:val="28"/>
          <w:lang w:val="el-GR"/>
        </w:rPr>
      </w:pPr>
      <w:r>
        <w:rPr>
          <w:rFonts w:ascii="Arial" w:hAnsi="Arial" w:cs="Arial"/>
          <w:sz w:val="28"/>
          <w:szCs w:val="28"/>
          <w:lang w:val="el-GR"/>
        </w:rPr>
        <w:t>• περαιτέρω τραπεζικές διευκολύνσεις, οι οποίες να περιλαμβάνουν</w:t>
      </w:r>
    </w:p>
    <w:p w14:paraId="0C1E807F" w14:textId="77777777" w:rsidR="004009D0" w:rsidRDefault="004009D0" w:rsidP="004009D0">
      <w:pPr>
        <w:pStyle w:val="ListParagraph"/>
        <w:numPr>
          <w:ilvl w:val="0"/>
          <w:numId w:val="14"/>
        </w:numPr>
        <w:rPr>
          <w:rFonts w:ascii="Arial" w:hAnsi="Arial" w:cs="Arial"/>
          <w:sz w:val="28"/>
          <w:szCs w:val="28"/>
          <w:lang w:val="el-GR"/>
        </w:rPr>
      </w:pPr>
      <w:r>
        <w:rPr>
          <w:rFonts w:ascii="Arial" w:hAnsi="Arial" w:cs="Arial"/>
          <w:sz w:val="28"/>
          <w:szCs w:val="28"/>
          <w:lang w:val="el-GR"/>
        </w:rPr>
        <w:t>εκχώρηση Συμβολαίων για χρηματοδότηση Έργων</w:t>
      </w:r>
    </w:p>
    <w:p w14:paraId="09344F3F" w14:textId="77777777" w:rsidR="004009D0" w:rsidRPr="004009D0" w:rsidRDefault="004009D0" w:rsidP="004009D0">
      <w:pPr>
        <w:pStyle w:val="ListParagraph"/>
        <w:numPr>
          <w:ilvl w:val="0"/>
          <w:numId w:val="14"/>
        </w:numPr>
        <w:rPr>
          <w:rFonts w:ascii="Arial" w:hAnsi="Arial" w:cs="Arial"/>
          <w:sz w:val="28"/>
          <w:szCs w:val="28"/>
          <w:lang w:val="el-GR"/>
        </w:rPr>
      </w:pPr>
      <w:r>
        <w:rPr>
          <w:rFonts w:ascii="Arial" w:hAnsi="Arial" w:cs="Arial"/>
          <w:sz w:val="28"/>
          <w:szCs w:val="28"/>
          <w:lang w:val="el-GR"/>
        </w:rPr>
        <w:t>προεξόφληση πιστοποιητικών πληρωμής και τιμολογίων για προμήθεια υλικών με ασφαλιστική κάλυψη</w:t>
      </w:r>
    </w:p>
    <w:p w14:paraId="36D0E5D3" w14:textId="77777777" w:rsidR="004009D0" w:rsidRDefault="004009D0" w:rsidP="004009D0">
      <w:pPr>
        <w:ind w:left="360"/>
        <w:rPr>
          <w:rFonts w:ascii="Arial" w:hAnsi="Arial" w:cs="Arial"/>
          <w:sz w:val="28"/>
          <w:szCs w:val="28"/>
          <w:lang w:val="el-GR"/>
        </w:rPr>
      </w:pPr>
      <w:r>
        <w:rPr>
          <w:rFonts w:ascii="Arial" w:hAnsi="Arial" w:cs="Arial"/>
          <w:sz w:val="28"/>
          <w:szCs w:val="28"/>
          <w:lang w:val="el-GR"/>
        </w:rPr>
        <w:t>• έκτακτα σχέδια στήριξης νοικοκυριών, τα οποία βρίσκονται σε διαδικασία ανέγερσης κατοικίας</w:t>
      </w:r>
    </w:p>
    <w:p w14:paraId="070DA380" w14:textId="77777777" w:rsidR="004009D0" w:rsidRDefault="002A3867" w:rsidP="002A3867">
      <w:pPr>
        <w:ind w:left="360"/>
        <w:rPr>
          <w:rFonts w:ascii="Arial" w:hAnsi="Arial" w:cs="Arial"/>
          <w:sz w:val="28"/>
          <w:szCs w:val="28"/>
          <w:lang w:val="el-GR"/>
        </w:rPr>
      </w:pPr>
      <w:r>
        <w:rPr>
          <w:rFonts w:ascii="Arial" w:hAnsi="Arial" w:cs="Arial"/>
          <w:sz w:val="28"/>
          <w:szCs w:val="28"/>
          <w:lang w:val="el-GR"/>
        </w:rPr>
        <w:lastRenderedPageBreak/>
        <w:t>•</w:t>
      </w:r>
      <w:r w:rsidR="004009D0">
        <w:rPr>
          <w:rFonts w:ascii="Arial" w:hAnsi="Arial" w:cs="Arial"/>
          <w:sz w:val="28"/>
          <w:szCs w:val="28"/>
          <w:lang w:val="el-GR"/>
        </w:rPr>
        <w:t xml:space="preserve"> πάταξη των φαινομένων κερδοσκοπίας</w:t>
      </w:r>
    </w:p>
    <w:p w14:paraId="314622CB" w14:textId="77777777" w:rsidR="004009D0" w:rsidRDefault="004009D0" w:rsidP="004009D0">
      <w:pPr>
        <w:ind w:left="360"/>
        <w:rPr>
          <w:rFonts w:ascii="Arial" w:hAnsi="Arial" w:cs="Arial"/>
          <w:sz w:val="28"/>
          <w:szCs w:val="28"/>
          <w:lang w:val="el-GR"/>
        </w:rPr>
      </w:pPr>
      <w:r>
        <w:rPr>
          <w:rFonts w:ascii="Arial" w:hAnsi="Arial" w:cs="Arial"/>
          <w:sz w:val="28"/>
          <w:szCs w:val="28"/>
          <w:lang w:val="el-GR"/>
        </w:rPr>
        <w:t>▪</w:t>
      </w:r>
      <w:r w:rsidR="002A3867">
        <w:rPr>
          <w:rFonts w:ascii="Arial" w:hAnsi="Arial" w:cs="Arial"/>
          <w:sz w:val="28"/>
          <w:szCs w:val="28"/>
          <w:lang w:val="el-GR"/>
        </w:rPr>
        <w:t xml:space="preserve"> επίλυση διαφορών με ευέλικτες διαδικασίες (Κριτική Διαδικασία – Διαιτησία)</w:t>
      </w:r>
    </w:p>
    <w:p w14:paraId="6AB18F8C" w14:textId="77777777" w:rsidR="004009D0" w:rsidRDefault="004009D0">
      <w:pPr>
        <w:rPr>
          <w:rFonts w:ascii="Arial" w:hAnsi="Arial" w:cs="Arial"/>
          <w:sz w:val="28"/>
          <w:szCs w:val="28"/>
          <w:lang w:val="el-GR"/>
        </w:rPr>
      </w:pPr>
    </w:p>
    <w:p w14:paraId="38DCEAD7" w14:textId="77777777" w:rsidR="004009D0" w:rsidRDefault="004009D0">
      <w:pPr>
        <w:rPr>
          <w:rFonts w:ascii="Arial" w:hAnsi="Arial" w:cs="Arial"/>
          <w:sz w:val="28"/>
          <w:szCs w:val="28"/>
          <w:lang w:val="el-GR"/>
        </w:rPr>
      </w:pPr>
    </w:p>
    <w:p w14:paraId="0E2A130C" w14:textId="77777777" w:rsidR="008C6C20" w:rsidRDefault="008C6C20">
      <w:pPr>
        <w:rPr>
          <w:rFonts w:ascii="Arial" w:hAnsi="Arial" w:cs="Arial"/>
          <w:sz w:val="28"/>
          <w:szCs w:val="28"/>
          <w:lang w:val="el-GR"/>
        </w:rPr>
      </w:pPr>
    </w:p>
    <w:p w14:paraId="7F297E22" w14:textId="77777777" w:rsidR="008C6C20" w:rsidRDefault="008C6C20">
      <w:pPr>
        <w:rPr>
          <w:rFonts w:ascii="Arial" w:hAnsi="Arial" w:cs="Arial"/>
          <w:sz w:val="28"/>
          <w:szCs w:val="28"/>
          <w:lang w:val="el-GR"/>
        </w:rPr>
      </w:pPr>
    </w:p>
    <w:sectPr w:rsidR="008C6C20" w:rsidSect="00B02B99">
      <w:pgSz w:w="16839" w:h="23814" w:code="8"/>
      <w:pgMar w:top="124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2141"/>
    <w:multiLevelType w:val="hybridMultilevel"/>
    <w:tmpl w:val="1AE063BC"/>
    <w:lvl w:ilvl="0" w:tplc="3C9C9D7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E70FE"/>
    <w:multiLevelType w:val="hybridMultilevel"/>
    <w:tmpl w:val="F5D6B280"/>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0B76"/>
    <w:multiLevelType w:val="hybridMultilevel"/>
    <w:tmpl w:val="E3CA72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A6FEA"/>
    <w:multiLevelType w:val="hybridMultilevel"/>
    <w:tmpl w:val="B19C4A68"/>
    <w:lvl w:ilvl="0" w:tplc="13BEE88A">
      <w:start w:val="16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B178C"/>
    <w:multiLevelType w:val="multilevel"/>
    <w:tmpl w:val="25C2E3A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2"/>
        <w:szCs w:val="22"/>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A67480"/>
    <w:multiLevelType w:val="hybridMultilevel"/>
    <w:tmpl w:val="42B46B26"/>
    <w:lvl w:ilvl="0" w:tplc="C7905C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4A0EAE"/>
    <w:multiLevelType w:val="hybridMultilevel"/>
    <w:tmpl w:val="5234E6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BB72D23"/>
    <w:multiLevelType w:val="hybridMultilevel"/>
    <w:tmpl w:val="D382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57DB4"/>
    <w:multiLevelType w:val="hybridMultilevel"/>
    <w:tmpl w:val="6B7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3B3936"/>
    <w:multiLevelType w:val="multilevel"/>
    <w:tmpl w:val="182A4B12"/>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77" w:hanging="720"/>
      </w:pPr>
      <w:rPr>
        <w:rFonts w:hint="default"/>
        <w:b w:val="0"/>
      </w:rPr>
    </w:lvl>
    <w:lvl w:ilvl="3">
      <w:start w:val="1"/>
      <w:numFmt w:val="decimal"/>
      <w:isLgl/>
      <w:lvlText w:val="%1.%2.%3.%4"/>
      <w:lvlJc w:val="left"/>
      <w:pPr>
        <w:ind w:left="2674" w:hanging="1080"/>
      </w:pPr>
      <w:rPr>
        <w:rFonts w:hint="default"/>
        <w:b w:val="0"/>
      </w:rPr>
    </w:lvl>
    <w:lvl w:ilvl="4">
      <w:start w:val="1"/>
      <w:numFmt w:val="decimal"/>
      <w:isLgl/>
      <w:lvlText w:val="%1.%2.%3.%4.%5"/>
      <w:lvlJc w:val="left"/>
      <w:pPr>
        <w:ind w:left="3111" w:hanging="1080"/>
      </w:pPr>
      <w:rPr>
        <w:rFonts w:hint="default"/>
        <w:b w:val="0"/>
      </w:rPr>
    </w:lvl>
    <w:lvl w:ilvl="5">
      <w:start w:val="1"/>
      <w:numFmt w:val="decimal"/>
      <w:isLgl/>
      <w:lvlText w:val="%1.%2.%3.%4.%5.%6"/>
      <w:lvlJc w:val="left"/>
      <w:pPr>
        <w:ind w:left="3908" w:hanging="1440"/>
      </w:pPr>
      <w:rPr>
        <w:rFonts w:hint="default"/>
        <w:b w:val="0"/>
      </w:rPr>
    </w:lvl>
    <w:lvl w:ilvl="6">
      <w:start w:val="1"/>
      <w:numFmt w:val="decimal"/>
      <w:isLgl/>
      <w:lvlText w:val="%1.%2.%3.%4.%5.%6.%7"/>
      <w:lvlJc w:val="left"/>
      <w:pPr>
        <w:ind w:left="4345" w:hanging="1440"/>
      </w:pPr>
      <w:rPr>
        <w:rFonts w:hint="default"/>
        <w:b w:val="0"/>
      </w:rPr>
    </w:lvl>
    <w:lvl w:ilvl="7">
      <w:start w:val="1"/>
      <w:numFmt w:val="decimal"/>
      <w:isLgl/>
      <w:lvlText w:val="%1.%2.%3.%4.%5.%6.%7.%8"/>
      <w:lvlJc w:val="left"/>
      <w:pPr>
        <w:ind w:left="5142" w:hanging="1800"/>
      </w:pPr>
      <w:rPr>
        <w:rFonts w:hint="default"/>
        <w:b w:val="0"/>
      </w:rPr>
    </w:lvl>
    <w:lvl w:ilvl="8">
      <w:start w:val="1"/>
      <w:numFmt w:val="decimal"/>
      <w:isLgl/>
      <w:lvlText w:val="%1.%2.%3.%4.%5.%6.%7.%8.%9"/>
      <w:lvlJc w:val="left"/>
      <w:pPr>
        <w:ind w:left="5579" w:hanging="1800"/>
      </w:pPr>
      <w:rPr>
        <w:rFonts w:hint="default"/>
        <w:b w:val="0"/>
      </w:rPr>
    </w:lvl>
  </w:abstractNum>
  <w:abstractNum w:abstractNumId="10" w15:restartNumberingAfterBreak="0">
    <w:nsid w:val="73D62984"/>
    <w:multiLevelType w:val="hybridMultilevel"/>
    <w:tmpl w:val="2DD4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FA00CC"/>
    <w:multiLevelType w:val="hybridMultilevel"/>
    <w:tmpl w:val="2DDA4D44"/>
    <w:lvl w:ilvl="0" w:tplc="14C89A2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7E5438"/>
    <w:multiLevelType w:val="hybridMultilevel"/>
    <w:tmpl w:val="71B0D3E2"/>
    <w:lvl w:ilvl="0" w:tplc="FF8AD4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C52534"/>
    <w:multiLevelType w:val="multilevel"/>
    <w:tmpl w:val="182A4B12"/>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77" w:hanging="720"/>
      </w:pPr>
      <w:rPr>
        <w:rFonts w:hint="default"/>
        <w:b w:val="0"/>
      </w:rPr>
    </w:lvl>
    <w:lvl w:ilvl="3">
      <w:start w:val="1"/>
      <w:numFmt w:val="decimal"/>
      <w:isLgl/>
      <w:lvlText w:val="%1.%2.%3.%4"/>
      <w:lvlJc w:val="left"/>
      <w:pPr>
        <w:ind w:left="2674" w:hanging="1080"/>
      </w:pPr>
      <w:rPr>
        <w:rFonts w:hint="default"/>
        <w:b w:val="0"/>
      </w:rPr>
    </w:lvl>
    <w:lvl w:ilvl="4">
      <w:start w:val="1"/>
      <w:numFmt w:val="decimal"/>
      <w:isLgl/>
      <w:lvlText w:val="%1.%2.%3.%4.%5"/>
      <w:lvlJc w:val="left"/>
      <w:pPr>
        <w:ind w:left="3111" w:hanging="1080"/>
      </w:pPr>
      <w:rPr>
        <w:rFonts w:hint="default"/>
        <w:b w:val="0"/>
      </w:rPr>
    </w:lvl>
    <w:lvl w:ilvl="5">
      <w:start w:val="1"/>
      <w:numFmt w:val="decimal"/>
      <w:isLgl/>
      <w:lvlText w:val="%1.%2.%3.%4.%5.%6"/>
      <w:lvlJc w:val="left"/>
      <w:pPr>
        <w:ind w:left="3908" w:hanging="1440"/>
      </w:pPr>
      <w:rPr>
        <w:rFonts w:hint="default"/>
        <w:b w:val="0"/>
      </w:rPr>
    </w:lvl>
    <w:lvl w:ilvl="6">
      <w:start w:val="1"/>
      <w:numFmt w:val="decimal"/>
      <w:isLgl/>
      <w:lvlText w:val="%1.%2.%3.%4.%5.%6.%7"/>
      <w:lvlJc w:val="left"/>
      <w:pPr>
        <w:ind w:left="4345" w:hanging="1440"/>
      </w:pPr>
      <w:rPr>
        <w:rFonts w:hint="default"/>
        <w:b w:val="0"/>
      </w:rPr>
    </w:lvl>
    <w:lvl w:ilvl="7">
      <w:start w:val="1"/>
      <w:numFmt w:val="decimal"/>
      <w:isLgl/>
      <w:lvlText w:val="%1.%2.%3.%4.%5.%6.%7.%8"/>
      <w:lvlJc w:val="left"/>
      <w:pPr>
        <w:ind w:left="5142" w:hanging="1800"/>
      </w:pPr>
      <w:rPr>
        <w:rFonts w:hint="default"/>
        <w:b w:val="0"/>
      </w:rPr>
    </w:lvl>
    <w:lvl w:ilvl="8">
      <w:start w:val="1"/>
      <w:numFmt w:val="decimal"/>
      <w:isLgl/>
      <w:lvlText w:val="%1.%2.%3.%4.%5.%6.%7.%8.%9"/>
      <w:lvlJc w:val="left"/>
      <w:pPr>
        <w:ind w:left="5579" w:hanging="1800"/>
      </w:pPr>
      <w:rPr>
        <w:rFonts w:hint="default"/>
        <w:b w:val="0"/>
      </w:rPr>
    </w:lvl>
  </w:abstractNum>
  <w:num w:numId="1">
    <w:abstractNumId w:val="6"/>
  </w:num>
  <w:num w:numId="2">
    <w:abstractNumId w:val="7"/>
  </w:num>
  <w:num w:numId="3">
    <w:abstractNumId w:val="13"/>
  </w:num>
  <w:num w:numId="4">
    <w:abstractNumId w:val="8"/>
  </w:num>
  <w:num w:numId="5">
    <w:abstractNumId w:val="11"/>
  </w:num>
  <w:num w:numId="6">
    <w:abstractNumId w:val="1"/>
  </w:num>
  <w:num w:numId="7">
    <w:abstractNumId w:val="2"/>
  </w:num>
  <w:num w:numId="8">
    <w:abstractNumId w:val="4"/>
  </w:num>
  <w:num w:numId="9">
    <w:abstractNumId w:val="3"/>
  </w:num>
  <w:num w:numId="10">
    <w:abstractNumId w:val="12"/>
  </w:num>
  <w:num w:numId="11">
    <w:abstractNumId w:val="10"/>
  </w:num>
  <w:num w:numId="12">
    <w:abstractNumId w:val="9"/>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F5"/>
    <w:rsid w:val="00017ECC"/>
    <w:rsid w:val="000243F6"/>
    <w:rsid w:val="0004238E"/>
    <w:rsid w:val="00054919"/>
    <w:rsid w:val="00077C2C"/>
    <w:rsid w:val="0008165B"/>
    <w:rsid w:val="00081739"/>
    <w:rsid w:val="000827FA"/>
    <w:rsid w:val="000829FC"/>
    <w:rsid w:val="00096274"/>
    <w:rsid w:val="000B07CD"/>
    <w:rsid w:val="000B18E8"/>
    <w:rsid w:val="000C3CE5"/>
    <w:rsid w:val="00105363"/>
    <w:rsid w:val="00112322"/>
    <w:rsid w:val="00115F86"/>
    <w:rsid w:val="001220BA"/>
    <w:rsid w:val="00152375"/>
    <w:rsid w:val="00173090"/>
    <w:rsid w:val="00184A3F"/>
    <w:rsid w:val="00193120"/>
    <w:rsid w:val="00197078"/>
    <w:rsid w:val="001A7CA6"/>
    <w:rsid w:val="001A7F40"/>
    <w:rsid w:val="001B0738"/>
    <w:rsid w:val="00200AB9"/>
    <w:rsid w:val="0020229F"/>
    <w:rsid w:val="002131C5"/>
    <w:rsid w:val="0023011D"/>
    <w:rsid w:val="00237710"/>
    <w:rsid w:val="00247239"/>
    <w:rsid w:val="002700A1"/>
    <w:rsid w:val="002945FA"/>
    <w:rsid w:val="002A3867"/>
    <w:rsid w:val="002C0364"/>
    <w:rsid w:val="002C5B51"/>
    <w:rsid w:val="002E4F77"/>
    <w:rsid w:val="00313A69"/>
    <w:rsid w:val="0033791E"/>
    <w:rsid w:val="003407D7"/>
    <w:rsid w:val="00363290"/>
    <w:rsid w:val="00363B44"/>
    <w:rsid w:val="0036617C"/>
    <w:rsid w:val="00366733"/>
    <w:rsid w:val="00376B80"/>
    <w:rsid w:val="00397256"/>
    <w:rsid w:val="003C21EB"/>
    <w:rsid w:val="003C36A1"/>
    <w:rsid w:val="003D10F5"/>
    <w:rsid w:val="003D3406"/>
    <w:rsid w:val="003D5F4B"/>
    <w:rsid w:val="004009D0"/>
    <w:rsid w:val="004045D3"/>
    <w:rsid w:val="00407C0C"/>
    <w:rsid w:val="00420692"/>
    <w:rsid w:val="004366A8"/>
    <w:rsid w:val="00446057"/>
    <w:rsid w:val="0045174E"/>
    <w:rsid w:val="004876FA"/>
    <w:rsid w:val="00491E3B"/>
    <w:rsid w:val="0049514A"/>
    <w:rsid w:val="004A0A5B"/>
    <w:rsid w:val="004C3382"/>
    <w:rsid w:val="004C6E6D"/>
    <w:rsid w:val="004E582F"/>
    <w:rsid w:val="004F6CFA"/>
    <w:rsid w:val="00531C9B"/>
    <w:rsid w:val="00541CFD"/>
    <w:rsid w:val="0057070C"/>
    <w:rsid w:val="006009C0"/>
    <w:rsid w:val="00607010"/>
    <w:rsid w:val="00611B03"/>
    <w:rsid w:val="00614085"/>
    <w:rsid w:val="006167BF"/>
    <w:rsid w:val="00626B2D"/>
    <w:rsid w:val="00630B6A"/>
    <w:rsid w:val="00632D58"/>
    <w:rsid w:val="006703A3"/>
    <w:rsid w:val="006843CE"/>
    <w:rsid w:val="00694CC2"/>
    <w:rsid w:val="006A0C5A"/>
    <w:rsid w:val="006C54D4"/>
    <w:rsid w:val="006D42F5"/>
    <w:rsid w:val="006E6844"/>
    <w:rsid w:val="006F3A11"/>
    <w:rsid w:val="007014E0"/>
    <w:rsid w:val="00701E59"/>
    <w:rsid w:val="00704296"/>
    <w:rsid w:val="00714AB4"/>
    <w:rsid w:val="00715029"/>
    <w:rsid w:val="0072025B"/>
    <w:rsid w:val="00732F2D"/>
    <w:rsid w:val="0073443F"/>
    <w:rsid w:val="007539DB"/>
    <w:rsid w:val="00797B4F"/>
    <w:rsid w:val="007B2880"/>
    <w:rsid w:val="007D5F31"/>
    <w:rsid w:val="008403B2"/>
    <w:rsid w:val="00853B3F"/>
    <w:rsid w:val="0085601F"/>
    <w:rsid w:val="00856E29"/>
    <w:rsid w:val="00857258"/>
    <w:rsid w:val="008908D4"/>
    <w:rsid w:val="0089756A"/>
    <w:rsid w:val="008C6C20"/>
    <w:rsid w:val="008D4BA5"/>
    <w:rsid w:val="008E5423"/>
    <w:rsid w:val="008F382D"/>
    <w:rsid w:val="00911BDD"/>
    <w:rsid w:val="00922DF5"/>
    <w:rsid w:val="00927CBE"/>
    <w:rsid w:val="00944131"/>
    <w:rsid w:val="00951485"/>
    <w:rsid w:val="00957E9A"/>
    <w:rsid w:val="0097276C"/>
    <w:rsid w:val="00992F0B"/>
    <w:rsid w:val="009A6A78"/>
    <w:rsid w:val="009C2CAB"/>
    <w:rsid w:val="009C799E"/>
    <w:rsid w:val="009D3ECE"/>
    <w:rsid w:val="009E623E"/>
    <w:rsid w:val="00A0363C"/>
    <w:rsid w:val="00A402A7"/>
    <w:rsid w:val="00A65B26"/>
    <w:rsid w:val="00A72D7C"/>
    <w:rsid w:val="00AA3B1B"/>
    <w:rsid w:val="00AE7FDE"/>
    <w:rsid w:val="00B02B99"/>
    <w:rsid w:val="00B1467E"/>
    <w:rsid w:val="00B17B60"/>
    <w:rsid w:val="00B36EFF"/>
    <w:rsid w:val="00B8452E"/>
    <w:rsid w:val="00B8738E"/>
    <w:rsid w:val="00B950BD"/>
    <w:rsid w:val="00BC255B"/>
    <w:rsid w:val="00BE273E"/>
    <w:rsid w:val="00BE7055"/>
    <w:rsid w:val="00BF19BE"/>
    <w:rsid w:val="00C3620A"/>
    <w:rsid w:val="00C60EB8"/>
    <w:rsid w:val="00C702FD"/>
    <w:rsid w:val="00C839E3"/>
    <w:rsid w:val="00C86B09"/>
    <w:rsid w:val="00CA1C86"/>
    <w:rsid w:val="00CA6C76"/>
    <w:rsid w:val="00CC3017"/>
    <w:rsid w:val="00CC44D1"/>
    <w:rsid w:val="00CD46C0"/>
    <w:rsid w:val="00CE6172"/>
    <w:rsid w:val="00CF5FF5"/>
    <w:rsid w:val="00D01BF4"/>
    <w:rsid w:val="00D0655E"/>
    <w:rsid w:val="00D11292"/>
    <w:rsid w:val="00D1516C"/>
    <w:rsid w:val="00D45D38"/>
    <w:rsid w:val="00DB2167"/>
    <w:rsid w:val="00DC2C5D"/>
    <w:rsid w:val="00DD25F4"/>
    <w:rsid w:val="00DD4029"/>
    <w:rsid w:val="00E01B76"/>
    <w:rsid w:val="00E05C87"/>
    <w:rsid w:val="00E068E7"/>
    <w:rsid w:val="00E06B69"/>
    <w:rsid w:val="00E22980"/>
    <w:rsid w:val="00E36F38"/>
    <w:rsid w:val="00E66ABA"/>
    <w:rsid w:val="00E772C0"/>
    <w:rsid w:val="00E81D1F"/>
    <w:rsid w:val="00EA3760"/>
    <w:rsid w:val="00EB74AF"/>
    <w:rsid w:val="00ED3EC5"/>
    <w:rsid w:val="00ED428A"/>
    <w:rsid w:val="00EF5CB5"/>
    <w:rsid w:val="00F07B3B"/>
    <w:rsid w:val="00F113E1"/>
    <w:rsid w:val="00F22396"/>
    <w:rsid w:val="00F36442"/>
    <w:rsid w:val="00F53F0E"/>
    <w:rsid w:val="00F67A4A"/>
    <w:rsid w:val="00F70C22"/>
    <w:rsid w:val="00F72F1F"/>
    <w:rsid w:val="00F84F68"/>
    <w:rsid w:val="00F87B9C"/>
    <w:rsid w:val="00FD1DAB"/>
    <w:rsid w:val="00FF0CB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ECF9"/>
  <w15:docId w15:val="{50740DEC-C535-485B-851E-ECEB4EEA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9BE"/>
    <w:pPr>
      <w:ind w:left="720"/>
      <w:contextualSpacing/>
    </w:pPr>
    <w:rPr>
      <w:lang w:val="en-US"/>
    </w:rPr>
  </w:style>
  <w:style w:type="table" w:styleId="TableGrid">
    <w:name w:val="Table Grid"/>
    <w:basedOn w:val="TableNormal"/>
    <w:uiPriority w:val="39"/>
    <w:rsid w:val="000827F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817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57E9A"/>
    <w:rPr>
      <w:sz w:val="16"/>
      <w:szCs w:val="16"/>
    </w:rPr>
  </w:style>
  <w:style w:type="paragraph" w:styleId="CommentText">
    <w:name w:val="annotation text"/>
    <w:basedOn w:val="Normal"/>
    <w:link w:val="CommentTextChar"/>
    <w:uiPriority w:val="99"/>
    <w:semiHidden/>
    <w:unhideWhenUsed/>
    <w:rsid w:val="00957E9A"/>
    <w:pPr>
      <w:spacing w:line="240" w:lineRule="auto"/>
    </w:pPr>
    <w:rPr>
      <w:sz w:val="20"/>
      <w:szCs w:val="20"/>
    </w:rPr>
  </w:style>
  <w:style w:type="character" w:customStyle="1" w:styleId="CommentTextChar">
    <w:name w:val="Comment Text Char"/>
    <w:basedOn w:val="DefaultParagraphFont"/>
    <w:link w:val="CommentText"/>
    <w:uiPriority w:val="99"/>
    <w:semiHidden/>
    <w:rsid w:val="00957E9A"/>
    <w:rPr>
      <w:sz w:val="20"/>
      <w:szCs w:val="20"/>
    </w:rPr>
  </w:style>
  <w:style w:type="paragraph" w:styleId="CommentSubject">
    <w:name w:val="annotation subject"/>
    <w:basedOn w:val="CommentText"/>
    <w:next w:val="CommentText"/>
    <w:link w:val="CommentSubjectChar"/>
    <w:uiPriority w:val="99"/>
    <w:semiHidden/>
    <w:unhideWhenUsed/>
    <w:rsid w:val="00957E9A"/>
    <w:rPr>
      <w:b/>
      <w:bCs/>
    </w:rPr>
  </w:style>
  <w:style w:type="character" w:customStyle="1" w:styleId="CommentSubjectChar">
    <w:name w:val="Comment Subject Char"/>
    <w:basedOn w:val="CommentTextChar"/>
    <w:link w:val="CommentSubject"/>
    <w:uiPriority w:val="99"/>
    <w:semiHidden/>
    <w:rsid w:val="00957E9A"/>
    <w:rPr>
      <w:b/>
      <w:bCs/>
      <w:sz w:val="20"/>
      <w:szCs w:val="20"/>
    </w:rPr>
  </w:style>
  <w:style w:type="paragraph" w:styleId="BalloonText">
    <w:name w:val="Balloon Text"/>
    <w:basedOn w:val="Normal"/>
    <w:link w:val="BalloonTextChar"/>
    <w:uiPriority w:val="99"/>
    <w:semiHidden/>
    <w:unhideWhenUsed/>
    <w:rsid w:val="0095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E9A"/>
    <w:rPr>
      <w:rFonts w:ascii="Segoe UI" w:hAnsi="Segoe UI" w:cs="Segoe UI"/>
      <w:sz w:val="18"/>
      <w:szCs w:val="18"/>
    </w:rPr>
  </w:style>
  <w:style w:type="character" w:customStyle="1" w:styleId="Bodytext7">
    <w:name w:val="Body text (7)_"/>
    <w:basedOn w:val="DefaultParagraphFont"/>
    <w:link w:val="Bodytext70"/>
    <w:rsid w:val="00E81D1F"/>
    <w:rPr>
      <w:rFonts w:ascii="Book Antiqua" w:eastAsia="Book Antiqua" w:hAnsi="Book Antiqua" w:cs="Book Antiqua"/>
      <w:b/>
      <w:bCs/>
      <w:shd w:val="clear" w:color="auto" w:fill="FFFFFF"/>
      <w:lang w:val="el-GR" w:eastAsia="el-GR" w:bidi="el-GR"/>
    </w:rPr>
  </w:style>
  <w:style w:type="character" w:customStyle="1" w:styleId="Bodytext2">
    <w:name w:val="Body text (2)_"/>
    <w:basedOn w:val="DefaultParagraphFont"/>
    <w:link w:val="Bodytext20"/>
    <w:rsid w:val="00E81D1F"/>
    <w:rPr>
      <w:rFonts w:ascii="Constantia" w:eastAsia="Constantia" w:hAnsi="Constantia" w:cs="Constantia"/>
      <w:sz w:val="24"/>
      <w:szCs w:val="24"/>
      <w:shd w:val="clear" w:color="auto" w:fill="FFFFFF"/>
    </w:rPr>
  </w:style>
  <w:style w:type="character" w:customStyle="1" w:styleId="Bodytext2BookAntiqua">
    <w:name w:val="Body text (2) + Book Antiqua"/>
    <w:aliases w:val="11 pt,Bold"/>
    <w:basedOn w:val="Bodytext2"/>
    <w:rsid w:val="00E81D1F"/>
    <w:rPr>
      <w:rFonts w:ascii="Book Antiqua" w:eastAsia="Book Antiqua" w:hAnsi="Book Antiqua" w:cs="Book Antiqua"/>
      <w:b/>
      <w:bCs/>
      <w:color w:val="000000"/>
      <w:spacing w:val="0"/>
      <w:w w:val="100"/>
      <w:position w:val="0"/>
      <w:sz w:val="22"/>
      <w:szCs w:val="22"/>
      <w:shd w:val="clear" w:color="auto" w:fill="FFFFFF"/>
      <w:lang w:val="el-GR" w:eastAsia="el-GR" w:bidi="el-GR"/>
    </w:rPr>
  </w:style>
  <w:style w:type="paragraph" w:customStyle="1" w:styleId="Bodytext70">
    <w:name w:val="Body text (7)"/>
    <w:basedOn w:val="Normal"/>
    <w:link w:val="Bodytext7"/>
    <w:rsid w:val="00E81D1F"/>
    <w:pPr>
      <w:widowControl w:val="0"/>
      <w:shd w:val="clear" w:color="auto" w:fill="FFFFFF"/>
      <w:spacing w:after="0" w:line="0" w:lineRule="atLeast"/>
      <w:ind w:hanging="380"/>
    </w:pPr>
    <w:rPr>
      <w:rFonts w:ascii="Book Antiqua" w:eastAsia="Book Antiqua" w:hAnsi="Book Antiqua" w:cs="Book Antiqua"/>
      <w:b/>
      <w:bCs/>
      <w:lang w:val="el-GR" w:eastAsia="el-GR" w:bidi="el-GR"/>
    </w:rPr>
  </w:style>
  <w:style w:type="paragraph" w:customStyle="1" w:styleId="Bodytext20">
    <w:name w:val="Body text (2)"/>
    <w:basedOn w:val="Normal"/>
    <w:link w:val="Bodytext2"/>
    <w:rsid w:val="00E81D1F"/>
    <w:pPr>
      <w:widowControl w:val="0"/>
      <w:shd w:val="clear" w:color="auto" w:fill="FFFFFF"/>
      <w:spacing w:after="0" w:line="259" w:lineRule="exact"/>
      <w:ind w:hanging="760"/>
      <w:jc w:val="both"/>
    </w:pPr>
    <w:rPr>
      <w:rFonts w:ascii="Constantia" w:eastAsia="Constantia" w:hAnsi="Constantia" w:cs="Constant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962">
      <w:bodyDiv w:val="1"/>
      <w:marLeft w:val="0"/>
      <w:marRight w:val="0"/>
      <w:marTop w:val="0"/>
      <w:marBottom w:val="0"/>
      <w:divBdr>
        <w:top w:val="none" w:sz="0" w:space="0" w:color="auto"/>
        <w:left w:val="none" w:sz="0" w:space="0" w:color="auto"/>
        <w:bottom w:val="none" w:sz="0" w:space="0" w:color="auto"/>
        <w:right w:val="none" w:sz="0" w:space="0" w:color="auto"/>
      </w:divBdr>
    </w:div>
    <w:div w:id="259534212">
      <w:bodyDiv w:val="1"/>
      <w:marLeft w:val="0"/>
      <w:marRight w:val="0"/>
      <w:marTop w:val="0"/>
      <w:marBottom w:val="0"/>
      <w:divBdr>
        <w:top w:val="none" w:sz="0" w:space="0" w:color="auto"/>
        <w:left w:val="none" w:sz="0" w:space="0" w:color="auto"/>
        <w:bottom w:val="none" w:sz="0" w:space="0" w:color="auto"/>
        <w:right w:val="none" w:sz="0" w:space="0" w:color="auto"/>
      </w:divBdr>
    </w:div>
    <w:div w:id="641345024">
      <w:bodyDiv w:val="1"/>
      <w:marLeft w:val="0"/>
      <w:marRight w:val="0"/>
      <w:marTop w:val="0"/>
      <w:marBottom w:val="0"/>
      <w:divBdr>
        <w:top w:val="none" w:sz="0" w:space="0" w:color="auto"/>
        <w:left w:val="none" w:sz="0" w:space="0" w:color="auto"/>
        <w:bottom w:val="none" w:sz="0" w:space="0" w:color="auto"/>
        <w:right w:val="none" w:sz="0" w:space="0" w:color="auto"/>
      </w:divBdr>
    </w:div>
    <w:div w:id="148408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7868-0EB8-40A2-8BFF-63652F20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2901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Stelios Gavriel</dc:creator>
  <cp:lastModifiedBy>stockwatch2</cp:lastModifiedBy>
  <cp:revision>2</cp:revision>
  <cp:lastPrinted>2021-10-19T08:48:00Z</cp:lastPrinted>
  <dcterms:created xsi:type="dcterms:W3CDTF">2021-10-20T04:28:00Z</dcterms:created>
  <dcterms:modified xsi:type="dcterms:W3CDTF">2021-10-20T04:28:00Z</dcterms:modified>
</cp:coreProperties>
</file>