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8851" w14:textId="6C9F2AE9" w:rsidR="004A7016" w:rsidRPr="0087712A" w:rsidRDefault="004A7016" w:rsidP="004A7016">
      <w:pPr>
        <w:pStyle w:val="A"/>
        <w:jc w:val="both"/>
        <w:rPr>
          <w:rFonts w:ascii="Calibri" w:hAnsi="Calibri" w:cs="Calibri"/>
          <w:sz w:val="40"/>
          <w:szCs w:val="40"/>
        </w:rPr>
      </w:pPr>
      <w:r w:rsidRPr="0087712A">
        <w:rPr>
          <w:rFonts w:ascii="Calibri" w:hAnsi="Calibri" w:cs="Calibri"/>
          <w:sz w:val="40"/>
          <w:szCs w:val="40"/>
        </w:rPr>
        <w:t>Full Year Results</w:t>
      </w:r>
      <w:r w:rsidR="005C0694" w:rsidRPr="0087712A">
        <w:rPr>
          <w:rFonts w:ascii="Calibri" w:hAnsi="Calibri" w:cs="Calibri"/>
          <w:sz w:val="40"/>
          <w:szCs w:val="40"/>
        </w:rPr>
        <w:t xml:space="preserve"> 202</w:t>
      </w:r>
      <w:r w:rsidR="00BB03BF" w:rsidRPr="0087712A">
        <w:rPr>
          <w:rFonts w:ascii="Calibri" w:hAnsi="Calibri" w:cs="Calibri"/>
          <w:sz w:val="40"/>
          <w:szCs w:val="40"/>
        </w:rPr>
        <w:t>2</w:t>
      </w:r>
    </w:p>
    <w:p w14:paraId="3B65FF00" w14:textId="16A6DA5A" w:rsidR="00922233" w:rsidRPr="00E718FE" w:rsidRDefault="002A7272" w:rsidP="004007B3">
      <w:pPr>
        <w:pStyle w:val="A"/>
        <w:spacing w:after="120"/>
        <w:jc w:val="both"/>
        <w:rPr>
          <w:rFonts w:ascii="Calibri" w:eastAsia="Calibri" w:hAnsi="Calibri" w:cs="Calibri"/>
          <w:sz w:val="20"/>
          <w:szCs w:val="20"/>
          <w:lang w:val="en-US"/>
        </w:rPr>
      </w:pPr>
      <w:r w:rsidRPr="00E718FE">
        <w:rPr>
          <w:rFonts w:ascii="Calibri" w:eastAsia="Calibri" w:hAnsi="Calibri" w:cs="Calibri"/>
          <w:sz w:val="20"/>
          <w:szCs w:val="20"/>
          <w:lang w:val="en-US"/>
        </w:rPr>
        <w:t xml:space="preserve">Titan Cement International SA (Euronext Brussels, ATHEX and Euronext Paris, TITC) announces the </w:t>
      </w:r>
      <w:r w:rsidR="0059683A" w:rsidRPr="00E718FE">
        <w:rPr>
          <w:rFonts w:ascii="Calibri" w:eastAsia="Calibri" w:hAnsi="Calibri" w:cs="Calibri"/>
          <w:sz w:val="20"/>
          <w:szCs w:val="20"/>
          <w:lang w:val="en-US"/>
        </w:rPr>
        <w:t>fourth quarter and full year</w:t>
      </w:r>
      <w:r w:rsidRPr="00E718FE">
        <w:rPr>
          <w:rFonts w:ascii="Calibri" w:eastAsia="Calibri" w:hAnsi="Calibri" w:cs="Calibri"/>
          <w:sz w:val="20"/>
          <w:szCs w:val="20"/>
          <w:lang w:val="en-US"/>
        </w:rPr>
        <w:t xml:space="preserve"> 2022 financial results.</w:t>
      </w:r>
    </w:p>
    <w:p w14:paraId="56D252CF" w14:textId="5BEA9023" w:rsidR="00193AB5" w:rsidRPr="004007B3" w:rsidRDefault="00D96C25" w:rsidP="004007B3">
      <w:pPr>
        <w:pStyle w:val="Copy"/>
        <w:spacing w:after="120"/>
        <w:jc w:val="both"/>
        <w:rPr>
          <w:rFonts w:ascii="Calibri" w:hAnsi="Calibri" w:cs="Calibri"/>
          <w:b/>
          <w:sz w:val="32"/>
          <w:szCs w:val="32"/>
          <w:lang w:val="en-US"/>
        </w:rPr>
      </w:pPr>
      <w:r w:rsidRPr="004007B3">
        <w:rPr>
          <w:rFonts w:ascii="Calibri" w:hAnsi="Calibri" w:cs="Calibri"/>
          <w:b/>
          <w:sz w:val="32"/>
          <w:szCs w:val="32"/>
          <w:lang w:val="en-US"/>
        </w:rPr>
        <w:t>Record</w:t>
      </w:r>
      <w:r w:rsidR="009E62DB" w:rsidRPr="004007B3">
        <w:rPr>
          <w:rFonts w:ascii="Calibri" w:hAnsi="Calibri" w:cs="Calibri"/>
          <w:b/>
          <w:sz w:val="32"/>
          <w:szCs w:val="32"/>
          <w:lang w:val="en-US"/>
        </w:rPr>
        <w:t xml:space="preserve"> </w:t>
      </w:r>
      <w:r w:rsidR="00193AB5" w:rsidRPr="004007B3">
        <w:rPr>
          <w:rFonts w:ascii="Calibri" w:hAnsi="Calibri" w:cs="Calibri"/>
          <w:b/>
          <w:sz w:val="32"/>
          <w:szCs w:val="32"/>
          <w:lang w:val="en-US"/>
        </w:rPr>
        <w:t>s</w:t>
      </w:r>
      <w:r w:rsidR="009E62DB" w:rsidRPr="004007B3">
        <w:rPr>
          <w:rFonts w:ascii="Calibri" w:hAnsi="Calibri" w:cs="Calibri"/>
          <w:b/>
          <w:sz w:val="32"/>
          <w:szCs w:val="32"/>
          <w:lang w:val="en-US"/>
        </w:rPr>
        <w:t xml:space="preserve">ales and </w:t>
      </w:r>
      <w:r w:rsidRPr="004007B3">
        <w:rPr>
          <w:rFonts w:ascii="Calibri" w:hAnsi="Calibri" w:cs="Calibri"/>
          <w:b/>
          <w:sz w:val="32"/>
          <w:szCs w:val="32"/>
          <w:lang w:val="en-US"/>
        </w:rPr>
        <w:t>str</w:t>
      </w:r>
      <w:r w:rsidR="00193AB5" w:rsidRPr="004007B3">
        <w:rPr>
          <w:rFonts w:ascii="Calibri" w:hAnsi="Calibri" w:cs="Calibri"/>
          <w:b/>
          <w:sz w:val="32"/>
          <w:szCs w:val="32"/>
          <w:lang w:val="en-US"/>
        </w:rPr>
        <w:t>o</w:t>
      </w:r>
      <w:r w:rsidRPr="004007B3">
        <w:rPr>
          <w:rFonts w:ascii="Calibri" w:hAnsi="Calibri" w:cs="Calibri"/>
          <w:b/>
          <w:sz w:val="32"/>
          <w:szCs w:val="32"/>
          <w:lang w:val="en-US"/>
        </w:rPr>
        <w:t xml:space="preserve">ng </w:t>
      </w:r>
      <w:r w:rsidR="000A61CF" w:rsidRPr="004007B3">
        <w:rPr>
          <w:rFonts w:ascii="Calibri" w:hAnsi="Calibri" w:cs="Calibri"/>
          <w:b/>
          <w:sz w:val="32"/>
          <w:szCs w:val="32"/>
          <w:lang w:val="en-US"/>
        </w:rPr>
        <w:t>profitability</w:t>
      </w:r>
      <w:r w:rsidR="009E62DB" w:rsidRPr="004007B3">
        <w:rPr>
          <w:rFonts w:ascii="Calibri" w:hAnsi="Calibri" w:cs="Calibri"/>
          <w:b/>
          <w:sz w:val="32"/>
          <w:szCs w:val="32"/>
          <w:lang w:val="en-US"/>
        </w:rPr>
        <w:t xml:space="preserve"> growth in all markets, in a year marked by </w:t>
      </w:r>
      <w:r w:rsidR="00440FB5" w:rsidRPr="004007B3">
        <w:rPr>
          <w:rFonts w:ascii="Calibri" w:hAnsi="Calibri" w:cs="Calibri"/>
          <w:b/>
          <w:sz w:val="32"/>
          <w:szCs w:val="32"/>
          <w:lang w:val="en-US"/>
        </w:rPr>
        <w:t>cost inflation and uncertainties</w:t>
      </w:r>
      <w:r w:rsidR="00EE59CA" w:rsidRPr="004007B3">
        <w:rPr>
          <w:rFonts w:ascii="Calibri" w:hAnsi="Calibri" w:cs="Calibri"/>
          <w:b/>
          <w:sz w:val="32"/>
          <w:szCs w:val="32"/>
          <w:lang w:val="en-US"/>
        </w:rPr>
        <w:t>.</w:t>
      </w:r>
    </w:p>
    <w:p w14:paraId="1F77A26A" w14:textId="430AECAC" w:rsidR="00283F1F" w:rsidRPr="00653649" w:rsidRDefault="006D6817" w:rsidP="00D00A83">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Second consecutive year of r</w:t>
      </w:r>
      <w:r w:rsidR="00495DEC" w:rsidRPr="00653649">
        <w:rPr>
          <w:rFonts w:ascii="Calibri" w:hAnsi="Calibri" w:cs="Calibri"/>
          <w:b/>
          <w:color w:val="00173C"/>
        </w:rPr>
        <w:t>ecord</w:t>
      </w:r>
      <w:r w:rsidR="00C93982" w:rsidRPr="00653649">
        <w:rPr>
          <w:rFonts w:ascii="Calibri" w:hAnsi="Calibri" w:cs="Calibri"/>
          <w:b/>
          <w:color w:val="00173C"/>
        </w:rPr>
        <w:t xml:space="preserve"> </w:t>
      </w:r>
      <w:r w:rsidR="0035215C" w:rsidRPr="00653649">
        <w:rPr>
          <w:rFonts w:ascii="Calibri" w:hAnsi="Calibri" w:cs="Calibri"/>
          <w:b/>
          <w:color w:val="00173C"/>
        </w:rPr>
        <w:t xml:space="preserve">Group </w:t>
      </w:r>
      <w:r w:rsidR="00495DEC" w:rsidRPr="00653649">
        <w:rPr>
          <w:rFonts w:ascii="Calibri" w:hAnsi="Calibri" w:cs="Calibri"/>
          <w:b/>
          <w:color w:val="00173C"/>
        </w:rPr>
        <w:t>sales of €2,2</w:t>
      </w:r>
      <w:r w:rsidR="001C49A1" w:rsidRPr="00653649">
        <w:rPr>
          <w:rFonts w:ascii="Calibri" w:hAnsi="Calibri" w:cs="Calibri"/>
          <w:b/>
          <w:color w:val="00173C"/>
        </w:rPr>
        <w:t>82</w:t>
      </w:r>
      <w:r w:rsidR="0005529E" w:rsidRPr="00653649">
        <w:rPr>
          <w:rFonts w:ascii="Calibri" w:hAnsi="Calibri" w:cs="Calibri"/>
          <w:b/>
          <w:color w:val="00173C"/>
        </w:rPr>
        <w:t>.</w:t>
      </w:r>
      <w:r w:rsidR="001C49A1" w:rsidRPr="00653649">
        <w:rPr>
          <w:rFonts w:ascii="Calibri" w:hAnsi="Calibri" w:cs="Calibri"/>
          <w:b/>
          <w:color w:val="00173C"/>
        </w:rPr>
        <w:t>2</w:t>
      </w:r>
      <w:r w:rsidR="00495DEC" w:rsidRPr="00653649">
        <w:rPr>
          <w:rFonts w:ascii="Calibri" w:hAnsi="Calibri" w:cs="Calibri"/>
          <w:b/>
          <w:color w:val="00173C"/>
        </w:rPr>
        <w:t>m, up 3</w:t>
      </w:r>
      <w:r w:rsidR="001C49A1" w:rsidRPr="00653649">
        <w:rPr>
          <w:rFonts w:ascii="Calibri" w:hAnsi="Calibri" w:cs="Calibri"/>
          <w:b/>
          <w:color w:val="00173C"/>
        </w:rPr>
        <w:t>3</w:t>
      </w:r>
      <w:r w:rsidR="00495DEC" w:rsidRPr="00653649">
        <w:rPr>
          <w:rFonts w:ascii="Calibri" w:hAnsi="Calibri" w:cs="Calibri"/>
          <w:b/>
          <w:color w:val="00173C"/>
        </w:rPr>
        <w:t>.</w:t>
      </w:r>
      <w:r w:rsidR="001C49A1" w:rsidRPr="00653649">
        <w:rPr>
          <w:rFonts w:ascii="Calibri" w:hAnsi="Calibri" w:cs="Calibri"/>
          <w:b/>
          <w:color w:val="00173C"/>
        </w:rPr>
        <w:t>1</w:t>
      </w:r>
      <w:r w:rsidR="00495DEC" w:rsidRPr="00653649">
        <w:rPr>
          <w:rFonts w:ascii="Calibri" w:hAnsi="Calibri" w:cs="Calibri"/>
          <w:b/>
          <w:color w:val="00173C"/>
        </w:rPr>
        <w:t>%,</w:t>
      </w:r>
      <w:r w:rsidR="00EF6BF2" w:rsidRPr="00653649">
        <w:rPr>
          <w:rFonts w:ascii="Calibri" w:hAnsi="Calibri" w:cs="Calibri"/>
          <w:b/>
          <w:color w:val="00173C"/>
        </w:rPr>
        <w:t xml:space="preserve"> following a very</w:t>
      </w:r>
      <w:r w:rsidR="0005529E" w:rsidRPr="00653649">
        <w:rPr>
          <w:rFonts w:ascii="Calibri" w:hAnsi="Calibri" w:cs="Calibri"/>
          <w:b/>
          <w:color w:val="00173C"/>
        </w:rPr>
        <w:t xml:space="preserve"> </w:t>
      </w:r>
      <w:r w:rsidR="00EF6BF2" w:rsidRPr="00653649">
        <w:rPr>
          <w:rFonts w:ascii="Calibri" w:hAnsi="Calibri" w:cs="Calibri"/>
          <w:b/>
          <w:color w:val="00173C"/>
        </w:rPr>
        <w:t xml:space="preserve">strong </w:t>
      </w:r>
      <w:r w:rsidR="00225171" w:rsidRPr="00653649">
        <w:rPr>
          <w:rFonts w:ascii="Calibri" w:hAnsi="Calibri" w:cs="Calibri"/>
          <w:b/>
          <w:color w:val="00173C"/>
        </w:rPr>
        <w:t>Q4</w:t>
      </w:r>
      <w:r w:rsidR="003A7DC0" w:rsidRPr="00653649">
        <w:rPr>
          <w:rFonts w:ascii="Calibri" w:hAnsi="Calibri" w:cs="Calibri"/>
          <w:b/>
          <w:color w:val="00173C"/>
        </w:rPr>
        <w:t>.</w:t>
      </w:r>
      <w:r w:rsidR="00D66236" w:rsidRPr="00653649">
        <w:rPr>
          <w:rFonts w:ascii="Calibri" w:hAnsi="Calibri" w:cs="Calibri"/>
          <w:b/>
          <w:color w:val="00173C"/>
        </w:rPr>
        <w:t xml:space="preserve"> US and Greece represent over 70% of Group sales.</w:t>
      </w:r>
    </w:p>
    <w:p w14:paraId="70228FCC" w14:textId="5A3E9581" w:rsidR="00961D5C" w:rsidRPr="00653649" w:rsidRDefault="009352EF" w:rsidP="00961D5C">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 xml:space="preserve">EBITDA </w:t>
      </w:r>
      <w:r w:rsidR="00B9527A" w:rsidRPr="00653649">
        <w:rPr>
          <w:rFonts w:ascii="Calibri" w:hAnsi="Calibri" w:cs="Calibri"/>
          <w:b/>
          <w:color w:val="00173C"/>
        </w:rPr>
        <w:t>rose to €33</w:t>
      </w:r>
      <w:r w:rsidR="009E6CFA" w:rsidRPr="00653649">
        <w:rPr>
          <w:rFonts w:ascii="Calibri" w:hAnsi="Calibri" w:cs="Calibri"/>
          <w:b/>
          <w:color w:val="00173C"/>
        </w:rPr>
        <w:t>1</w:t>
      </w:r>
      <w:r w:rsidR="00B9527A" w:rsidRPr="00653649">
        <w:rPr>
          <w:rFonts w:ascii="Calibri" w:hAnsi="Calibri" w:cs="Calibri"/>
          <w:b/>
          <w:color w:val="00173C"/>
        </w:rPr>
        <w:t>.</w:t>
      </w:r>
      <w:r w:rsidR="009E6CFA" w:rsidRPr="00653649">
        <w:rPr>
          <w:rFonts w:ascii="Calibri" w:hAnsi="Calibri" w:cs="Calibri"/>
          <w:b/>
          <w:color w:val="00173C"/>
        </w:rPr>
        <w:t>2</w:t>
      </w:r>
      <w:r w:rsidR="00197B20" w:rsidRPr="00653649">
        <w:rPr>
          <w:rFonts w:ascii="Calibri" w:hAnsi="Calibri" w:cs="Calibri"/>
          <w:b/>
          <w:color w:val="00173C"/>
        </w:rPr>
        <w:t>m</w:t>
      </w:r>
      <w:r w:rsidR="00B9527A" w:rsidRPr="00653649">
        <w:rPr>
          <w:rFonts w:ascii="Calibri" w:hAnsi="Calibri" w:cs="Calibri"/>
          <w:b/>
          <w:color w:val="00173C"/>
        </w:rPr>
        <w:t xml:space="preserve"> with all regions posting </w:t>
      </w:r>
      <w:r w:rsidR="00F732EE" w:rsidRPr="00653649">
        <w:rPr>
          <w:rFonts w:ascii="Calibri" w:hAnsi="Calibri" w:cs="Calibri"/>
          <w:b/>
          <w:color w:val="00173C"/>
        </w:rPr>
        <w:t>double-digit profitability increase</w:t>
      </w:r>
      <w:r w:rsidR="002C1FC3" w:rsidRPr="00653649">
        <w:rPr>
          <w:rFonts w:ascii="Calibri" w:hAnsi="Calibri" w:cs="Calibri"/>
          <w:b/>
          <w:color w:val="00173C"/>
        </w:rPr>
        <w:t>.</w:t>
      </w:r>
      <w:r w:rsidR="00E91F84" w:rsidRPr="00653649">
        <w:rPr>
          <w:rFonts w:ascii="Calibri" w:hAnsi="Calibri" w:cs="Calibri"/>
          <w:b/>
          <w:color w:val="00173C"/>
        </w:rPr>
        <w:t xml:space="preserve"> </w:t>
      </w:r>
      <w:r w:rsidR="002C1FC3" w:rsidRPr="00653649">
        <w:rPr>
          <w:rFonts w:ascii="Calibri" w:hAnsi="Calibri" w:cs="Calibri"/>
          <w:b/>
          <w:color w:val="00173C"/>
        </w:rPr>
        <w:t>R</w:t>
      </w:r>
      <w:r w:rsidR="00824370" w:rsidRPr="00653649">
        <w:rPr>
          <w:rFonts w:ascii="Calibri" w:hAnsi="Calibri" w:cs="Calibri"/>
          <w:b/>
          <w:color w:val="00173C"/>
        </w:rPr>
        <w:t>ecovering</w:t>
      </w:r>
      <w:r w:rsidR="00934A5C" w:rsidRPr="00653649">
        <w:rPr>
          <w:rFonts w:ascii="Calibri" w:hAnsi="Calibri" w:cs="Calibri"/>
          <w:b/>
          <w:color w:val="00173C"/>
        </w:rPr>
        <w:t xml:space="preserve"> </w:t>
      </w:r>
      <w:r w:rsidR="00F734BB" w:rsidRPr="00653649">
        <w:rPr>
          <w:rFonts w:ascii="Calibri" w:hAnsi="Calibri" w:cs="Calibri"/>
          <w:b/>
          <w:color w:val="00173C"/>
        </w:rPr>
        <w:t xml:space="preserve">EBITDA </w:t>
      </w:r>
      <w:r w:rsidR="00824370" w:rsidRPr="00653649">
        <w:rPr>
          <w:rFonts w:ascii="Calibri" w:hAnsi="Calibri" w:cs="Calibri"/>
          <w:b/>
          <w:color w:val="00173C"/>
        </w:rPr>
        <w:t>margins</w:t>
      </w:r>
      <w:r w:rsidR="00E91F84" w:rsidRPr="00653649">
        <w:rPr>
          <w:rFonts w:ascii="Calibri" w:hAnsi="Calibri" w:cs="Calibri"/>
          <w:b/>
          <w:color w:val="00173C"/>
        </w:rPr>
        <w:t xml:space="preserve"> with</w:t>
      </w:r>
      <w:r w:rsidR="0095126A" w:rsidRPr="00653649">
        <w:rPr>
          <w:rFonts w:ascii="Calibri" w:hAnsi="Calibri" w:cs="Calibri"/>
          <w:b/>
          <w:color w:val="00173C"/>
        </w:rPr>
        <w:t xml:space="preserve"> </w:t>
      </w:r>
      <w:r w:rsidR="00E91F84" w:rsidRPr="00653649">
        <w:rPr>
          <w:rFonts w:ascii="Calibri" w:hAnsi="Calibri" w:cs="Calibri"/>
          <w:b/>
          <w:color w:val="00173C"/>
        </w:rPr>
        <w:t>s</w:t>
      </w:r>
      <w:r w:rsidR="00CE3CD9" w:rsidRPr="00653649">
        <w:rPr>
          <w:rFonts w:ascii="Calibri" w:hAnsi="Calibri" w:cs="Calibri"/>
          <w:b/>
          <w:color w:val="00173C"/>
        </w:rPr>
        <w:t>olid volumes</w:t>
      </w:r>
      <w:r w:rsidR="00E9508C" w:rsidRPr="00653649">
        <w:rPr>
          <w:rFonts w:ascii="Calibri" w:hAnsi="Calibri" w:cs="Calibri"/>
          <w:b/>
          <w:color w:val="00173C"/>
        </w:rPr>
        <w:t>,</w:t>
      </w:r>
      <w:r w:rsidR="00CE3CD9" w:rsidRPr="00653649">
        <w:rPr>
          <w:rFonts w:ascii="Calibri" w:hAnsi="Calibri" w:cs="Calibri"/>
          <w:b/>
          <w:color w:val="00173C"/>
        </w:rPr>
        <w:t xml:space="preserve"> </w:t>
      </w:r>
      <w:r w:rsidR="00EB65D4" w:rsidRPr="00653649">
        <w:rPr>
          <w:rFonts w:ascii="Calibri" w:hAnsi="Calibri" w:cs="Calibri"/>
          <w:b/>
          <w:color w:val="00173C"/>
        </w:rPr>
        <w:t>dynamic</w:t>
      </w:r>
      <w:r w:rsidR="009B70A9" w:rsidRPr="00653649">
        <w:rPr>
          <w:rFonts w:ascii="Calibri" w:hAnsi="Calibri" w:cs="Calibri"/>
          <w:b/>
          <w:color w:val="00173C"/>
        </w:rPr>
        <w:t xml:space="preserve"> </w:t>
      </w:r>
      <w:r w:rsidR="003C363F" w:rsidRPr="00653649">
        <w:rPr>
          <w:rFonts w:ascii="Calibri" w:hAnsi="Calibri" w:cs="Calibri"/>
          <w:b/>
          <w:color w:val="00173C"/>
        </w:rPr>
        <w:t>pricing</w:t>
      </w:r>
      <w:r w:rsidR="002C1FC3" w:rsidRPr="00653649">
        <w:rPr>
          <w:rFonts w:ascii="Calibri" w:hAnsi="Calibri" w:cs="Calibri"/>
          <w:b/>
          <w:color w:val="00173C"/>
        </w:rPr>
        <w:t>,</w:t>
      </w:r>
      <w:r w:rsidR="002A50DB" w:rsidRPr="00653649">
        <w:rPr>
          <w:rFonts w:ascii="Calibri" w:hAnsi="Calibri" w:cs="Calibri"/>
          <w:b/>
          <w:color w:val="00173C"/>
        </w:rPr>
        <w:t xml:space="preserve"> cost-efficien</w:t>
      </w:r>
      <w:r w:rsidR="00C70BA4" w:rsidRPr="00653649">
        <w:rPr>
          <w:rFonts w:ascii="Calibri" w:hAnsi="Calibri" w:cs="Calibri"/>
          <w:b/>
          <w:color w:val="00173C"/>
        </w:rPr>
        <w:t>cy</w:t>
      </w:r>
      <w:r w:rsidR="002A50DB" w:rsidRPr="00653649">
        <w:rPr>
          <w:rFonts w:ascii="Calibri" w:hAnsi="Calibri" w:cs="Calibri"/>
          <w:b/>
          <w:color w:val="00173C"/>
        </w:rPr>
        <w:t xml:space="preserve"> actions</w:t>
      </w:r>
      <w:r w:rsidR="0094358F" w:rsidRPr="00653649">
        <w:rPr>
          <w:rFonts w:ascii="Calibri" w:hAnsi="Calibri" w:cs="Calibri"/>
          <w:b/>
          <w:color w:val="00173C"/>
        </w:rPr>
        <w:t>,</w:t>
      </w:r>
      <w:r w:rsidR="00E9508C" w:rsidRPr="00653649">
        <w:rPr>
          <w:rFonts w:ascii="Calibri" w:hAnsi="Calibri" w:cs="Calibri"/>
          <w:b/>
          <w:color w:val="00173C"/>
        </w:rPr>
        <w:t xml:space="preserve"> </w:t>
      </w:r>
      <w:r w:rsidR="002A50DB" w:rsidRPr="00653649">
        <w:rPr>
          <w:rFonts w:ascii="Calibri" w:hAnsi="Calibri" w:cs="Calibri"/>
          <w:b/>
          <w:color w:val="00173C"/>
        </w:rPr>
        <w:t xml:space="preserve">and </w:t>
      </w:r>
      <w:r w:rsidR="0094358F" w:rsidRPr="00653649">
        <w:rPr>
          <w:rFonts w:ascii="Calibri" w:hAnsi="Calibri" w:cs="Calibri"/>
          <w:b/>
          <w:color w:val="00173C"/>
        </w:rPr>
        <w:t>favourable</w:t>
      </w:r>
      <w:r w:rsidR="00E9508C" w:rsidRPr="00653649">
        <w:rPr>
          <w:rFonts w:ascii="Calibri" w:hAnsi="Calibri" w:cs="Calibri"/>
          <w:b/>
          <w:color w:val="00173C"/>
        </w:rPr>
        <w:t xml:space="preserve"> USD</w:t>
      </w:r>
      <w:r w:rsidR="00FC55D8" w:rsidRPr="00653649">
        <w:rPr>
          <w:rFonts w:ascii="Calibri" w:hAnsi="Calibri" w:cs="Calibri"/>
          <w:b/>
          <w:color w:val="00173C"/>
        </w:rPr>
        <w:t xml:space="preserve"> </w:t>
      </w:r>
      <w:r w:rsidR="002C1FC3" w:rsidRPr="00653649">
        <w:rPr>
          <w:rFonts w:ascii="Calibri" w:hAnsi="Calibri" w:cs="Calibri"/>
          <w:b/>
          <w:color w:val="00173C"/>
        </w:rPr>
        <w:t xml:space="preserve">offset sharp rise in </w:t>
      </w:r>
      <w:r w:rsidR="00BB21FA" w:rsidRPr="00653649">
        <w:rPr>
          <w:rFonts w:ascii="Calibri" w:hAnsi="Calibri" w:cs="Calibri"/>
          <w:b/>
          <w:color w:val="00173C"/>
        </w:rPr>
        <w:t>energy and distribution cost</w:t>
      </w:r>
      <w:r w:rsidR="006A60F3" w:rsidRPr="00653649">
        <w:rPr>
          <w:rFonts w:ascii="Calibri" w:hAnsi="Calibri" w:cs="Calibri"/>
          <w:b/>
          <w:color w:val="00173C"/>
        </w:rPr>
        <w:t>s</w:t>
      </w:r>
      <w:r w:rsidR="00BB21FA" w:rsidRPr="00653649">
        <w:rPr>
          <w:rFonts w:ascii="Calibri" w:hAnsi="Calibri" w:cs="Calibri"/>
          <w:b/>
          <w:color w:val="00173C"/>
        </w:rPr>
        <w:t>.</w:t>
      </w:r>
      <w:r w:rsidR="00E9508C" w:rsidRPr="00653649">
        <w:rPr>
          <w:rFonts w:ascii="Calibri" w:hAnsi="Calibri" w:cs="Calibri"/>
          <w:b/>
          <w:color w:val="00173C"/>
        </w:rPr>
        <w:t xml:space="preserve"> </w:t>
      </w:r>
    </w:p>
    <w:p w14:paraId="3FDFBFA2" w14:textId="69620966" w:rsidR="00961D5C" w:rsidRPr="00653649" w:rsidRDefault="00961D5C" w:rsidP="00961D5C">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Very strong Q4 2022 with EBITDA growth for third consecutive quarter. Q4 EBITDA at €</w:t>
      </w:r>
      <w:r w:rsidR="005715E3" w:rsidRPr="00653649">
        <w:rPr>
          <w:rFonts w:ascii="Calibri" w:hAnsi="Calibri" w:cs="Calibri"/>
          <w:b/>
          <w:color w:val="00173C"/>
        </w:rPr>
        <w:t>96.7</w:t>
      </w:r>
      <w:r w:rsidRPr="00653649">
        <w:rPr>
          <w:rFonts w:ascii="Calibri" w:hAnsi="Calibri" w:cs="Calibri"/>
          <w:b/>
          <w:color w:val="00173C"/>
        </w:rPr>
        <w:t xml:space="preserve">m </w:t>
      </w:r>
      <w:r w:rsidR="005715E3" w:rsidRPr="00653649">
        <w:rPr>
          <w:rFonts w:ascii="Calibri" w:hAnsi="Calibri" w:cs="Calibri"/>
          <w:b/>
          <w:color w:val="00173C"/>
        </w:rPr>
        <w:t>vs €55.6m in 2021.</w:t>
      </w:r>
    </w:p>
    <w:p w14:paraId="136A416A" w14:textId="249E7853" w:rsidR="00D41560" w:rsidRPr="00653649" w:rsidRDefault="00DD0791">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Earnings per share increased by 24</w:t>
      </w:r>
      <w:r w:rsidR="00DF58CC" w:rsidRPr="00653649">
        <w:rPr>
          <w:rFonts w:ascii="Calibri" w:hAnsi="Calibri" w:cs="Calibri"/>
          <w:b/>
          <w:color w:val="00173C"/>
        </w:rPr>
        <w:t>.4</w:t>
      </w:r>
      <w:r w:rsidRPr="00653649">
        <w:rPr>
          <w:rFonts w:ascii="Calibri" w:hAnsi="Calibri" w:cs="Calibri"/>
          <w:b/>
          <w:color w:val="00173C"/>
        </w:rPr>
        <w:t xml:space="preserve">%. </w:t>
      </w:r>
      <w:r w:rsidR="006A60F3" w:rsidRPr="00653649">
        <w:rPr>
          <w:rFonts w:ascii="Calibri" w:hAnsi="Calibri" w:cs="Calibri"/>
          <w:b/>
          <w:color w:val="00173C"/>
        </w:rPr>
        <w:t>NPAT reached €1</w:t>
      </w:r>
      <w:r w:rsidR="00DF58CC" w:rsidRPr="00653649">
        <w:rPr>
          <w:rFonts w:ascii="Calibri" w:hAnsi="Calibri" w:cs="Calibri"/>
          <w:b/>
          <w:color w:val="00173C"/>
        </w:rPr>
        <w:t>09.7</w:t>
      </w:r>
      <w:r w:rsidR="006A60F3" w:rsidRPr="00653649">
        <w:rPr>
          <w:rFonts w:ascii="Calibri" w:hAnsi="Calibri" w:cs="Calibri"/>
          <w:b/>
          <w:color w:val="00173C"/>
        </w:rPr>
        <w:t>m (+19.3%)</w:t>
      </w:r>
      <w:r w:rsidR="00483054" w:rsidRPr="00653649">
        <w:rPr>
          <w:rFonts w:ascii="Calibri" w:hAnsi="Calibri" w:cs="Calibri"/>
          <w:b/>
          <w:color w:val="00173C"/>
        </w:rPr>
        <w:t>, despite FX losses in Egypt. Hyperinflation accounting applied in Turkey with practical</w:t>
      </w:r>
      <w:r w:rsidR="00A20833" w:rsidRPr="00653649">
        <w:rPr>
          <w:rFonts w:ascii="Calibri" w:hAnsi="Calibri" w:cs="Calibri"/>
          <w:b/>
          <w:color w:val="00173C"/>
        </w:rPr>
        <w:t>ly</w:t>
      </w:r>
      <w:r w:rsidR="00483054" w:rsidRPr="00653649">
        <w:rPr>
          <w:rFonts w:ascii="Calibri" w:hAnsi="Calibri" w:cs="Calibri"/>
          <w:b/>
          <w:color w:val="00173C"/>
        </w:rPr>
        <w:t xml:space="preserve"> neutral NPAT impact after taking a €21.8m goodwill impairment charge.</w:t>
      </w:r>
    </w:p>
    <w:p w14:paraId="00CEBA46" w14:textId="33364815" w:rsidR="00483054" w:rsidRPr="00653649" w:rsidRDefault="00483054">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Net debt closed at €797</w:t>
      </w:r>
      <w:r w:rsidR="006C3A37" w:rsidRPr="00653649">
        <w:rPr>
          <w:rFonts w:ascii="Calibri" w:hAnsi="Calibri" w:cs="Calibri"/>
          <w:b/>
          <w:color w:val="00173C"/>
        </w:rPr>
        <w:t>.3</w:t>
      </w:r>
      <w:r w:rsidRPr="00653649">
        <w:rPr>
          <w:rFonts w:ascii="Calibri" w:hAnsi="Calibri" w:cs="Calibri"/>
          <w:b/>
          <w:color w:val="00173C"/>
        </w:rPr>
        <w:t xml:space="preserve">m (+€84m) following record </w:t>
      </w:r>
      <w:proofErr w:type="spellStart"/>
      <w:r w:rsidR="007D51DA" w:rsidRPr="00653649">
        <w:rPr>
          <w:rFonts w:ascii="Calibri" w:hAnsi="Calibri" w:cs="Calibri"/>
          <w:b/>
          <w:color w:val="00173C"/>
        </w:rPr>
        <w:t>CapEx</w:t>
      </w:r>
      <w:proofErr w:type="spellEnd"/>
      <w:r w:rsidR="007D51DA" w:rsidRPr="00653649">
        <w:rPr>
          <w:rFonts w:ascii="Calibri" w:hAnsi="Calibri" w:cs="Calibri"/>
          <w:b/>
          <w:color w:val="00173C"/>
        </w:rPr>
        <w:t xml:space="preserve"> </w:t>
      </w:r>
      <w:r w:rsidRPr="00653649">
        <w:rPr>
          <w:rFonts w:ascii="Calibri" w:hAnsi="Calibri" w:cs="Calibri"/>
          <w:b/>
          <w:color w:val="00173C"/>
        </w:rPr>
        <w:t>(€24</w:t>
      </w:r>
      <w:r w:rsidR="006C3A37" w:rsidRPr="00653649">
        <w:rPr>
          <w:rFonts w:ascii="Calibri" w:hAnsi="Calibri" w:cs="Calibri"/>
          <w:b/>
          <w:color w:val="00173C"/>
        </w:rPr>
        <w:t>1.9</w:t>
      </w:r>
      <w:r w:rsidRPr="00653649">
        <w:rPr>
          <w:rFonts w:ascii="Calibri" w:hAnsi="Calibri" w:cs="Calibri"/>
          <w:b/>
          <w:color w:val="00173C"/>
        </w:rPr>
        <w:t>m) to achieve</w:t>
      </w:r>
      <w:r w:rsidR="00621BB8" w:rsidRPr="00653649">
        <w:rPr>
          <w:rFonts w:ascii="Calibri" w:hAnsi="Calibri" w:cs="Calibri"/>
          <w:b/>
          <w:color w:val="00173C"/>
        </w:rPr>
        <w:t xml:space="preserve"> growth,</w:t>
      </w:r>
      <w:r w:rsidRPr="00653649">
        <w:rPr>
          <w:rFonts w:ascii="Calibri" w:hAnsi="Calibri" w:cs="Calibri"/>
          <w:b/>
          <w:color w:val="00173C"/>
        </w:rPr>
        <w:t xml:space="preserve"> energy cost efficiencies, optimize logistics costs</w:t>
      </w:r>
      <w:r w:rsidR="00DF5CD3" w:rsidRPr="00653649">
        <w:rPr>
          <w:rFonts w:ascii="Calibri" w:hAnsi="Calibri" w:cs="Calibri"/>
          <w:b/>
          <w:color w:val="00173C"/>
        </w:rPr>
        <w:t>,</w:t>
      </w:r>
      <w:r w:rsidRPr="00653649">
        <w:rPr>
          <w:rFonts w:ascii="Calibri" w:hAnsi="Calibri" w:cs="Calibri"/>
          <w:b/>
          <w:color w:val="00173C"/>
        </w:rPr>
        <w:t xml:space="preserve"> and expand capacities</w:t>
      </w:r>
      <w:r w:rsidR="00621BB8" w:rsidRPr="00653649">
        <w:rPr>
          <w:rFonts w:ascii="Calibri" w:hAnsi="Calibri" w:cs="Calibri"/>
          <w:b/>
          <w:color w:val="00173C"/>
        </w:rPr>
        <w:t>,</w:t>
      </w:r>
      <w:r w:rsidRPr="00653649">
        <w:rPr>
          <w:rFonts w:ascii="Calibri" w:hAnsi="Calibri" w:cs="Calibri"/>
          <w:b/>
          <w:color w:val="00173C"/>
        </w:rPr>
        <w:t xml:space="preserve"> as well as for more working capital to </w:t>
      </w:r>
      <w:r w:rsidR="00621BB8" w:rsidRPr="00653649">
        <w:rPr>
          <w:rFonts w:ascii="Calibri" w:hAnsi="Calibri" w:cs="Calibri"/>
          <w:b/>
          <w:color w:val="00173C"/>
        </w:rPr>
        <w:t>support</w:t>
      </w:r>
      <w:r w:rsidR="00DF5CD3" w:rsidRPr="00653649">
        <w:rPr>
          <w:rFonts w:ascii="Calibri" w:hAnsi="Calibri" w:cs="Calibri"/>
          <w:b/>
          <w:color w:val="00173C"/>
        </w:rPr>
        <w:t xml:space="preserve"> sales growth. Leverage ratio reduced to 2.4</w:t>
      </w:r>
      <w:r w:rsidR="00AE4729">
        <w:rPr>
          <w:rFonts w:ascii="Calibri" w:hAnsi="Calibri" w:cs="Calibri"/>
          <w:b/>
          <w:color w:val="00173C"/>
          <w:lang w:val="en-US"/>
        </w:rPr>
        <w:t>x</w:t>
      </w:r>
      <w:r w:rsidR="00DF5CD3" w:rsidRPr="00653649">
        <w:rPr>
          <w:rFonts w:ascii="Calibri" w:hAnsi="Calibri" w:cs="Calibri"/>
          <w:b/>
          <w:color w:val="00173C"/>
        </w:rPr>
        <w:t>.</w:t>
      </w:r>
    </w:p>
    <w:p w14:paraId="77AF41B0" w14:textId="7CDEAB7B" w:rsidR="00221F25" w:rsidRPr="00653649" w:rsidRDefault="00221F25" w:rsidP="00221F25">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Highest annual specific CO</w:t>
      </w:r>
      <w:r w:rsidRPr="00653649">
        <w:rPr>
          <w:rFonts w:ascii="Calibri" w:hAnsi="Calibri" w:cs="Calibri"/>
          <w:b/>
          <w:color w:val="00173C"/>
          <w:vertAlign w:val="subscript"/>
        </w:rPr>
        <w:t>2</w:t>
      </w:r>
      <w:r w:rsidRPr="00653649">
        <w:rPr>
          <w:rFonts w:ascii="Calibri" w:hAnsi="Calibri" w:cs="Calibri"/>
          <w:b/>
          <w:color w:val="00173C"/>
        </w:rPr>
        <w:t xml:space="preserve"> emissions reduction</w:t>
      </w:r>
      <w:r w:rsidR="00B84FC5" w:rsidRPr="00653649">
        <w:rPr>
          <w:rFonts w:ascii="Calibri" w:hAnsi="Calibri" w:cs="Calibri"/>
          <w:b/>
          <w:color w:val="00173C"/>
        </w:rPr>
        <w:t xml:space="preserve"> (-5%)</w:t>
      </w:r>
      <w:r w:rsidRPr="00653649">
        <w:rPr>
          <w:rFonts w:ascii="Calibri" w:hAnsi="Calibri" w:cs="Calibri"/>
          <w:b/>
          <w:color w:val="00173C"/>
        </w:rPr>
        <w:t xml:space="preserve"> recorded in the last decade</w:t>
      </w:r>
      <w:r w:rsidR="0033608D" w:rsidRPr="00653649">
        <w:rPr>
          <w:rFonts w:ascii="Calibri" w:hAnsi="Calibri" w:cs="Calibri"/>
          <w:b/>
          <w:color w:val="00173C"/>
        </w:rPr>
        <w:t xml:space="preserve"> </w:t>
      </w:r>
      <w:r w:rsidR="003D37C6" w:rsidRPr="00653649">
        <w:rPr>
          <w:rFonts w:ascii="Calibri" w:hAnsi="Calibri" w:cs="Calibri"/>
          <w:b/>
          <w:color w:val="00173C"/>
        </w:rPr>
        <w:t xml:space="preserve">with higher use of alternative fuels and </w:t>
      </w:r>
      <w:r w:rsidR="0009304B" w:rsidRPr="00653649">
        <w:rPr>
          <w:rFonts w:ascii="Calibri" w:hAnsi="Calibri" w:cs="Calibri"/>
          <w:b/>
          <w:color w:val="00173C"/>
        </w:rPr>
        <w:t xml:space="preserve">lower </w:t>
      </w:r>
      <w:r w:rsidR="0094358F" w:rsidRPr="00653649">
        <w:rPr>
          <w:rFonts w:ascii="Calibri" w:hAnsi="Calibri" w:cs="Calibri"/>
          <w:b/>
          <w:color w:val="00173C"/>
        </w:rPr>
        <w:t>clinker-to-cement</w:t>
      </w:r>
      <w:r w:rsidR="0009304B" w:rsidRPr="00653649">
        <w:rPr>
          <w:rFonts w:ascii="Calibri" w:hAnsi="Calibri" w:cs="Calibri"/>
          <w:b/>
          <w:color w:val="00173C"/>
        </w:rPr>
        <w:t xml:space="preserve"> ratio. G</w:t>
      </w:r>
      <w:r w:rsidR="0033608D" w:rsidRPr="00653649">
        <w:rPr>
          <w:rFonts w:ascii="Calibri" w:hAnsi="Calibri" w:cs="Calibri"/>
          <w:b/>
          <w:color w:val="00173C"/>
        </w:rPr>
        <w:t xml:space="preserve">reen products and solutions </w:t>
      </w:r>
      <w:r w:rsidR="00C70BA4" w:rsidRPr="00653649">
        <w:rPr>
          <w:rFonts w:ascii="Calibri" w:hAnsi="Calibri" w:cs="Calibri"/>
          <w:b/>
          <w:color w:val="00173C"/>
        </w:rPr>
        <w:t xml:space="preserve">approaching </w:t>
      </w:r>
      <w:r w:rsidR="0033608D" w:rsidRPr="00653649">
        <w:rPr>
          <w:rFonts w:ascii="Calibri" w:hAnsi="Calibri" w:cs="Calibri"/>
          <w:b/>
          <w:color w:val="00173C"/>
        </w:rPr>
        <w:t xml:space="preserve">20% of </w:t>
      </w:r>
      <w:r w:rsidR="00C70BA4" w:rsidRPr="00653649">
        <w:rPr>
          <w:rFonts w:ascii="Calibri" w:hAnsi="Calibri" w:cs="Calibri"/>
          <w:b/>
          <w:color w:val="00173C"/>
        </w:rPr>
        <w:t>sales volumes</w:t>
      </w:r>
      <w:r w:rsidR="0009304B" w:rsidRPr="00653649">
        <w:rPr>
          <w:rFonts w:ascii="Calibri" w:hAnsi="Calibri" w:cs="Calibri"/>
          <w:b/>
          <w:color w:val="00173C"/>
        </w:rPr>
        <w:t>. High</w:t>
      </w:r>
      <w:r w:rsidR="0033608D" w:rsidRPr="00653649">
        <w:rPr>
          <w:rFonts w:ascii="Calibri" w:hAnsi="Calibri" w:cs="Calibri"/>
          <w:b/>
          <w:color w:val="00173C"/>
        </w:rPr>
        <w:t xml:space="preserve"> ESG ratings</w:t>
      </w:r>
      <w:r w:rsidR="00C70BA4" w:rsidRPr="00653649">
        <w:rPr>
          <w:rFonts w:ascii="Calibri" w:hAnsi="Calibri" w:cs="Calibri"/>
          <w:b/>
          <w:color w:val="00173C"/>
        </w:rPr>
        <w:t>.</w:t>
      </w:r>
    </w:p>
    <w:p w14:paraId="2AB3178A" w14:textId="45D90787" w:rsidR="00221F25" w:rsidRPr="00653649" w:rsidRDefault="00B84FC5">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b/>
          <w:color w:val="00173C"/>
        </w:rPr>
      </w:pPr>
      <w:r w:rsidRPr="00653649">
        <w:rPr>
          <w:rFonts w:ascii="Calibri" w:hAnsi="Calibri" w:cs="Calibri"/>
          <w:b/>
          <w:color w:val="00173C"/>
        </w:rPr>
        <w:t>Group digital transformation rolled out to more plants, with production efficiencies in the form of increased output and energy cost savings, as well as with machine failure prediction</w:t>
      </w:r>
      <w:r w:rsidR="007C6F30" w:rsidRPr="00653649">
        <w:rPr>
          <w:rFonts w:ascii="Calibri" w:hAnsi="Calibri" w:cs="Calibri"/>
          <w:b/>
          <w:color w:val="00173C"/>
        </w:rPr>
        <w:t xml:space="preserve"> detection</w:t>
      </w:r>
      <w:r w:rsidRPr="00653649">
        <w:rPr>
          <w:rFonts w:ascii="Calibri" w:hAnsi="Calibri" w:cs="Calibri"/>
          <w:b/>
          <w:color w:val="00173C"/>
        </w:rPr>
        <w:t xml:space="preserve">, results </w:t>
      </w:r>
      <w:r w:rsidR="002D7D8B" w:rsidRPr="00653649">
        <w:rPr>
          <w:rFonts w:ascii="Calibri" w:hAnsi="Calibri" w:cs="Calibri"/>
          <w:b/>
          <w:color w:val="00173C"/>
        </w:rPr>
        <w:t>in</w:t>
      </w:r>
      <w:r w:rsidRPr="00653649">
        <w:rPr>
          <w:rFonts w:ascii="Calibri" w:hAnsi="Calibri" w:cs="Calibri"/>
          <w:b/>
          <w:color w:val="00173C"/>
        </w:rPr>
        <w:t xml:space="preserve"> significant financial benefits.</w:t>
      </w:r>
    </w:p>
    <w:p w14:paraId="2A08856B" w14:textId="341CB95E" w:rsidR="00216286" w:rsidRPr="00653649" w:rsidRDefault="00BE38F5" w:rsidP="00216286">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rPr>
      </w:pPr>
      <w:r w:rsidRPr="00653649">
        <w:rPr>
          <w:rFonts w:ascii="Calibri" w:hAnsi="Calibri" w:cs="Calibri"/>
          <w:b/>
          <w:color w:val="00173C"/>
        </w:rPr>
        <w:t>Focus on shareholder returns</w:t>
      </w:r>
      <w:r w:rsidR="00B84FC5" w:rsidRPr="00653649">
        <w:rPr>
          <w:rFonts w:ascii="Calibri" w:hAnsi="Calibri" w:cs="Calibri"/>
          <w:b/>
          <w:color w:val="00173C"/>
        </w:rPr>
        <w:t>.</w:t>
      </w:r>
      <w:r w:rsidR="00770709" w:rsidRPr="00653649">
        <w:rPr>
          <w:rFonts w:ascii="Calibri" w:hAnsi="Calibri" w:cs="Calibri"/>
          <w:b/>
          <w:color w:val="00173C"/>
        </w:rPr>
        <w:t xml:space="preserve"> </w:t>
      </w:r>
      <w:r w:rsidR="00B84FC5" w:rsidRPr="00653649">
        <w:rPr>
          <w:rFonts w:ascii="Calibri" w:hAnsi="Calibri" w:cs="Calibri"/>
          <w:b/>
          <w:color w:val="00173C"/>
        </w:rPr>
        <w:t>Over</w:t>
      </w:r>
      <w:r w:rsidR="00770709" w:rsidRPr="00653649">
        <w:rPr>
          <w:rFonts w:ascii="Calibri" w:hAnsi="Calibri" w:cs="Calibri"/>
          <w:b/>
          <w:color w:val="00173C"/>
        </w:rPr>
        <w:t xml:space="preserve"> €60m</w:t>
      </w:r>
      <w:r w:rsidR="00382924" w:rsidRPr="00653649">
        <w:rPr>
          <w:rFonts w:ascii="Calibri" w:hAnsi="Calibri" w:cs="Calibri"/>
          <w:b/>
          <w:color w:val="00173C"/>
        </w:rPr>
        <w:t xml:space="preserve"> </w:t>
      </w:r>
      <w:r w:rsidR="00B84FC5" w:rsidRPr="00653649">
        <w:rPr>
          <w:rFonts w:ascii="Calibri" w:hAnsi="Calibri" w:cs="Calibri"/>
          <w:b/>
          <w:color w:val="00173C"/>
        </w:rPr>
        <w:t xml:space="preserve">paid in 2022 as </w:t>
      </w:r>
      <w:r w:rsidR="00C7344B" w:rsidRPr="00653649">
        <w:rPr>
          <w:rFonts w:ascii="Calibri" w:hAnsi="Calibri" w:cs="Calibri"/>
          <w:b/>
          <w:color w:val="00173C"/>
        </w:rPr>
        <w:t>capital re</w:t>
      </w:r>
      <w:r w:rsidR="00B84FC5" w:rsidRPr="00653649">
        <w:rPr>
          <w:rFonts w:ascii="Calibri" w:hAnsi="Calibri" w:cs="Calibri"/>
          <w:b/>
          <w:color w:val="00173C"/>
        </w:rPr>
        <w:t>duction</w:t>
      </w:r>
      <w:r w:rsidR="00D96C25" w:rsidRPr="00653649">
        <w:rPr>
          <w:rFonts w:ascii="Calibri" w:hAnsi="Calibri" w:cs="Calibri"/>
          <w:b/>
          <w:color w:val="00173C"/>
        </w:rPr>
        <w:t xml:space="preserve"> distribution to shareholders</w:t>
      </w:r>
      <w:r w:rsidR="00C7344B" w:rsidRPr="00653649">
        <w:rPr>
          <w:rFonts w:ascii="Calibri" w:hAnsi="Calibri" w:cs="Calibri"/>
          <w:b/>
          <w:color w:val="00173C"/>
        </w:rPr>
        <w:t xml:space="preserve"> and</w:t>
      </w:r>
      <w:r w:rsidR="00D96C25" w:rsidRPr="00653649">
        <w:rPr>
          <w:rFonts w:ascii="Calibri" w:hAnsi="Calibri" w:cs="Calibri"/>
          <w:b/>
          <w:color w:val="00173C"/>
        </w:rPr>
        <w:t xml:space="preserve"> for</w:t>
      </w:r>
      <w:r w:rsidR="00C7344B" w:rsidRPr="00653649">
        <w:rPr>
          <w:rFonts w:ascii="Calibri" w:hAnsi="Calibri" w:cs="Calibri"/>
          <w:b/>
          <w:color w:val="00173C"/>
        </w:rPr>
        <w:t xml:space="preserve"> </w:t>
      </w:r>
      <w:r w:rsidR="006342BC" w:rsidRPr="00653649">
        <w:rPr>
          <w:rFonts w:ascii="Calibri" w:hAnsi="Calibri" w:cs="Calibri"/>
          <w:b/>
          <w:color w:val="00173C"/>
        </w:rPr>
        <w:t xml:space="preserve">share </w:t>
      </w:r>
      <w:r w:rsidR="00C7344B" w:rsidRPr="00653649">
        <w:rPr>
          <w:rFonts w:ascii="Calibri" w:hAnsi="Calibri" w:cs="Calibri"/>
          <w:b/>
          <w:color w:val="00173C"/>
        </w:rPr>
        <w:t>buybacks</w:t>
      </w:r>
      <w:r w:rsidR="00496893" w:rsidRPr="00653649">
        <w:rPr>
          <w:rFonts w:ascii="Calibri" w:hAnsi="Calibri" w:cs="Calibri"/>
          <w:b/>
          <w:color w:val="00173C"/>
        </w:rPr>
        <w:t xml:space="preserve">. </w:t>
      </w:r>
      <w:r w:rsidR="00D96C25" w:rsidRPr="00653649">
        <w:rPr>
          <w:rFonts w:ascii="Calibri" w:hAnsi="Calibri" w:cs="Calibri"/>
          <w:b/>
          <w:color w:val="00173C"/>
        </w:rPr>
        <w:t xml:space="preserve">The </w:t>
      </w:r>
      <w:r w:rsidR="00387749" w:rsidRPr="00653649">
        <w:rPr>
          <w:rFonts w:ascii="Calibri" w:hAnsi="Calibri" w:cs="Calibri"/>
          <w:b/>
          <w:color w:val="00173C"/>
        </w:rPr>
        <w:t>Board p</w:t>
      </w:r>
      <w:r w:rsidR="006E4051" w:rsidRPr="00653649">
        <w:rPr>
          <w:rFonts w:ascii="Calibri" w:hAnsi="Calibri" w:cs="Calibri"/>
          <w:b/>
          <w:color w:val="00173C"/>
        </w:rPr>
        <w:t>ropos</w:t>
      </w:r>
      <w:r w:rsidR="00D96C25" w:rsidRPr="00653649">
        <w:rPr>
          <w:rFonts w:ascii="Calibri" w:hAnsi="Calibri" w:cs="Calibri"/>
          <w:b/>
          <w:color w:val="00173C"/>
        </w:rPr>
        <w:t xml:space="preserve">es </w:t>
      </w:r>
      <w:r w:rsidR="0054562A">
        <w:rPr>
          <w:rFonts w:ascii="Calibri" w:hAnsi="Calibri" w:cs="Calibri"/>
          <w:b/>
          <w:color w:val="00173C"/>
        </w:rPr>
        <w:t>a dividend</w:t>
      </w:r>
      <w:r w:rsidR="00D96C25" w:rsidRPr="00653649">
        <w:rPr>
          <w:rFonts w:ascii="Calibri" w:hAnsi="Calibri" w:cs="Calibri"/>
          <w:b/>
          <w:color w:val="00173C"/>
        </w:rPr>
        <w:t xml:space="preserve"> payment of </w:t>
      </w:r>
      <w:r w:rsidR="00E45B58" w:rsidRPr="00653649">
        <w:rPr>
          <w:rFonts w:ascii="Calibri" w:hAnsi="Calibri" w:cs="Calibri"/>
          <w:b/>
          <w:color w:val="00173C"/>
        </w:rPr>
        <w:t>€0.60</w:t>
      </w:r>
      <w:r w:rsidR="00F14392" w:rsidRPr="00653649">
        <w:rPr>
          <w:rFonts w:ascii="Calibri" w:hAnsi="Calibri" w:cs="Calibri"/>
          <w:b/>
          <w:color w:val="00173C"/>
        </w:rPr>
        <w:t xml:space="preserve"> per </w:t>
      </w:r>
      <w:r w:rsidR="00055FB6" w:rsidRPr="00653649">
        <w:rPr>
          <w:rFonts w:ascii="Calibri" w:hAnsi="Calibri" w:cs="Calibri"/>
          <w:b/>
          <w:color w:val="00173C"/>
        </w:rPr>
        <w:t>share</w:t>
      </w:r>
      <w:r w:rsidR="00F14392" w:rsidRPr="00653649">
        <w:rPr>
          <w:rFonts w:ascii="Calibri" w:hAnsi="Calibri" w:cs="Calibri"/>
          <w:b/>
          <w:color w:val="00173C"/>
        </w:rPr>
        <w:t>.</w:t>
      </w:r>
    </w:p>
    <w:p w14:paraId="3E25BCAC" w14:textId="1F94F5BF" w:rsidR="00AD4718" w:rsidRPr="00653649" w:rsidRDefault="00AD4718" w:rsidP="00216286">
      <w:pPr>
        <w:pStyle w:val="ListParagraph"/>
        <w:widowControl w:val="0"/>
        <w:numPr>
          <w:ilvl w:val="0"/>
          <w:numId w:val="23"/>
        </w:numPr>
        <w:autoSpaceDE w:val="0"/>
        <w:autoSpaceDN w:val="0"/>
        <w:spacing w:before="120" w:after="0" w:line="240" w:lineRule="auto"/>
        <w:ind w:left="425" w:right="113" w:hanging="425"/>
        <w:contextualSpacing w:val="0"/>
        <w:jc w:val="both"/>
        <w:rPr>
          <w:rFonts w:ascii="Calibri" w:hAnsi="Calibri" w:cs="Calibri"/>
        </w:rPr>
      </w:pPr>
      <w:r w:rsidRPr="00653649">
        <w:rPr>
          <w:rFonts w:ascii="Calibri" w:hAnsi="Calibri" w:cs="Calibri"/>
          <w:b/>
          <w:color w:val="00173C"/>
        </w:rPr>
        <w:t xml:space="preserve">Outlook remains positive given exposure to resilient markets in </w:t>
      </w:r>
      <w:r w:rsidR="00EA07A9" w:rsidRPr="00653649">
        <w:rPr>
          <w:rFonts w:ascii="Calibri" w:hAnsi="Calibri" w:cs="Calibri"/>
          <w:b/>
          <w:color w:val="00173C"/>
        </w:rPr>
        <w:t>America</w:t>
      </w:r>
      <w:r w:rsidRPr="00653649">
        <w:rPr>
          <w:rFonts w:ascii="Calibri" w:hAnsi="Calibri" w:cs="Calibri"/>
          <w:b/>
          <w:color w:val="00173C"/>
        </w:rPr>
        <w:t xml:space="preserve"> as well</w:t>
      </w:r>
      <w:r w:rsidR="00EA07A9" w:rsidRPr="00653649">
        <w:rPr>
          <w:rFonts w:ascii="Calibri" w:hAnsi="Calibri" w:cs="Calibri"/>
          <w:b/>
          <w:color w:val="00173C"/>
        </w:rPr>
        <w:t xml:space="preserve"> as in Europe</w:t>
      </w:r>
      <w:r w:rsidR="0017310E" w:rsidRPr="00653649">
        <w:rPr>
          <w:rFonts w:ascii="Calibri" w:hAnsi="Calibri" w:cs="Calibri"/>
          <w:b/>
          <w:color w:val="00173C"/>
        </w:rPr>
        <w:t>. Large growth and logistics investments to be finali</w:t>
      </w:r>
      <w:r w:rsidR="00370215">
        <w:rPr>
          <w:rFonts w:ascii="Calibri" w:hAnsi="Calibri" w:cs="Calibri"/>
          <w:b/>
          <w:color w:val="00173C"/>
        </w:rPr>
        <w:t>z</w:t>
      </w:r>
      <w:r w:rsidR="0017310E" w:rsidRPr="00653649">
        <w:rPr>
          <w:rFonts w:ascii="Calibri" w:hAnsi="Calibri" w:cs="Calibri"/>
          <w:b/>
          <w:color w:val="00173C"/>
        </w:rPr>
        <w:t>ed in 2023.</w:t>
      </w:r>
    </w:p>
    <w:p w14:paraId="5FD8160C" w14:textId="0952C681" w:rsidR="00653649" w:rsidRPr="00653649" w:rsidRDefault="00653649" w:rsidP="00653649">
      <w:pPr>
        <w:pStyle w:val="ListParagraph"/>
        <w:widowControl w:val="0"/>
        <w:autoSpaceDE w:val="0"/>
        <w:autoSpaceDN w:val="0"/>
        <w:spacing w:before="120" w:after="0" w:line="240" w:lineRule="auto"/>
        <w:ind w:left="425" w:right="113"/>
        <w:contextualSpacing w:val="0"/>
        <w:jc w:val="both"/>
        <w:rPr>
          <w:rFonts w:ascii="Calibri" w:hAnsi="Calibri" w:cs="Calibri"/>
          <w:sz w:val="21"/>
          <w:szCs w:val="21"/>
        </w:rPr>
      </w:pPr>
      <w:r w:rsidRPr="002C09EE">
        <w:rPr>
          <w:rFonts w:ascii="Calibri" w:hAnsi="Calibri" w:cs="Calibri"/>
          <w:noProof/>
          <w:color w:val="FF0000"/>
        </w:rPr>
        <mc:AlternateContent>
          <mc:Choice Requires="wps">
            <w:drawing>
              <wp:anchor distT="0" distB="0" distL="114300" distR="114300" simplePos="0" relativeHeight="251658264" behindDoc="1" locked="0" layoutInCell="1" allowOverlap="1" wp14:anchorId="317A6EC2" wp14:editId="12F9534A">
                <wp:simplePos x="0" y="0"/>
                <wp:positionH relativeFrom="margin">
                  <wp:posOffset>-10160</wp:posOffset>
                </wp:positionH>
                <wp:positionV relativeFrom="paragraph">
                  <wp:posOffset>218630</wp:posOffset>
                </wp:positionV>
                <wp:extent cx="6078931" cy="1280160"/>
                <wp:effectExtent l="0" t="0" r="0" b="0"/>
                <wp:wrapNone/>
                <wp:docPr id="36" name="Rectangle 36"/>
                <wp:cNvGraphicFramePr/>
                <a:graphic xmlns:a="http://schemas.openxmlformats.org/drawingml/2006/main">
                  <a:graphicData uri="http://schemas.microsoft.com/office/word/2010/wordprocessingShape">
                    <wps:wsp>
                      <wps:cNvSpPr/>
                      <wps:spPr>
                        <a:xfrm>
                          <a:off x="0" y="0"/>
                          <a:ext cx="6078931" cy="128016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84437" w14:textId="6B8FBD1A" w:rsidR="00110AC2" w:rsidRPr="004279B8" w:rsidRDefault="00110AC2" w:rsidP="00110AC2">
                            <w:pPr>
                              <w:pStyle w:val="quoteitalics"/>
                              <w:spacing w:after="0" w:line="240" w:lineRule="auto"/>
                              <w:ind w:firstLine="288"/>
                              <w:jc w:val="both"/>
                              <w:rPr>
                                <w:rFonts w:ascii="Calibri" w:hAnsi="Calibri" w:cs="Calibri"/>
                                <w:color w:val="00183D"/>
                              </w:rPr>
                            </w:pPr>
                            <w:r w:rsidRPr="004279B8">
                              <w:rPr>
                                <w:rFonts w:ascii="Calibri" w:hAnsi="Calibri" w:cs="Calibri"/>
                                <w:color w:val="00183D"/>
                              </w:rPr>
                              <w:t xml:space="preserve">Marcel </w:t>
                            </w:r>
                            <w:proofErr w:type="spellStart"/>
                            <w:r w:rsidRPr="004279B8">
                              <w:rPr>
                                <w:rFonts w:ascii="Calibri" w:hAnsi="Calibri" w:cs="Calibri"/>
                                <w:color w:val="00183D"/>
                              </w:rPr>
                              <w:t>Cobuz</w:t>
                            </w:r>
                            <w:proofErr w:type="spellEnd"/>
                            <w:r w:rsidRPr="004279B8">
                              <w:rPr>
                                <w:rFonts w:ascii="Calibri" w:hAnsi="Calibri" w:cs="Calibri"/>
                                <w:color w:val="00183D"/>
                              </w:rPr>
                              <w:t xml:space="preserve">, Chairman of the Group Executive Committee   </w:t>
                            </w:r>
                          </w:p>
                          <w:p w14:paraId="4D9DB783" w14:textId="77777777" w:rsidR="00110AC2" w:rsidRPr="00653649" w:rsidRDefault="00110AC2" w:rsidP="00110AC2">
                            <w:pPr>
                              <w:pStyle w:val="quoteitalics"/>
                              <w:spacing w:after="0" w:line="240" w:lineRule="auto"/>
                              <w:ind w:firstLine="288"/>
                              <w:jc w:val="both"/>
                              <w:rPr>
                                <w:rFonts w:ascii="Calibri" w:hAnsi="Calibri" w:cs="Calibri"/>
                                <w:color w:val="00183D"/>
                                <w:sz w:val="12"/>
                                <w:szCs w:val="10"/>
                              </w:rPr>
                            </w:pPr>
                          </w:p>
                          <w:p w14:paraId="36960C02" w14:textId="36F402F3" w:rsidR="00110AC2" w:rsidRPr="00653649" w:rsidRDefault="00694622" w:rsidP="00714582">
                            <w:pPr>
                              <w:pStyle w:val="Copy-bullets"/>
                              <w:numPr>
                                <w:ilvl w:val="0"/>
                                <w:numId w:val="0"/>
                              </w:numPr>
                              <w:ind w:left="288" w:right="324"/>
                              <w:jc w:val="both"/>
                              <w:rPr>
                                <w:rFonts w:ascii="Calibri" w:hAnsi="Calibri" w:cs="Calibri"/>
                                <w:i/>
                                <w:iCs/>
                                <w:sz w:val="20"/>
                              </w:rPr>
                            </w:pPr>
                            <w:r w:rsidRPr="00653649">
                              <w:rPr>
                                <w:rFonts w:ascii="Calibri" w:hAnsi="Calibri" w:cs="Calibri"/>
                                <w:i/>
                                <w:iCs/>
                                <w:sz w:val="20"/>
                              </w:rPr>
                              <w:t>“</w:t>
                            </w:r>
                            <w:r w:rsidR="004279B8" w:rsidRPr="00653649">
                              <w:rPr>
                                <w:rFonts w:ascii="Calibri" w:hAnsi="Calibri" w:cs="Calibri"/>
                                <w:i/>
                                <w:iCs/>
                                <w:sz w:val="20"/>
                              </w:rPr>
                              <w:t xml:space="preserve">The great performance results highlight the Group's ability to adapt to market conditions and to activate effective growth strategies, driving positive financial performance mainly in US and Europe, where we serve </w:t>
                            </w:r>
                            <w:proofErr w:type="gramStart"/>
                            <w:r w:rsidR="004279B8" w:rsidRPr="00653649">
                              <w:rPr>
                                <w:rFonts w:ascii="Calibri" w:hAnsi="Calibri" w:cs="Calibri"/>
                                <w:i/>
                                <w:iCs/>
                                <w:sz w:val="20"/>
                              </w:rPr>
                              <w:t>the majority of</w:t>
                            </w:r>
                            <w:proofErr w:type="gramEnd"/>
                            <w:r w:rsidR="004279B8" w:rsidRPr="00653649">
                              <w:rPr>
                                <w:rFonts w:ascii="Calibri" w:hAnsi="Calibri" w:cs="Calibri"/>
                                <w:i/>
                                <w:iCs/>
                                <w:sz w:val="20"/>
                              </w:rPr>
                              <w:t xml:space="preserve"> our customers and have close to 90% of our sales. They also underscore the Group’s resilience, </w:t>
                            </w:r>
                            <w:proofErr w:type="gramStart"/>
                            <w:r w:rsidR="004279B8" w:rsidRPr="00653649">
                              <w:rPr>
                                <w:rFonts w:ascii="Calibri" w:hAnsi="Calibri" w:cs="Calibri"/>
                                <w:i/>
                                <w:iCs/>
                                <w:sz w:val="20"/>
                              </w:rPr>
                              <w:t>adaptability</w:t>
                            </w:r>
                            <w:proofErr w:type="gramEnd"/>
                            <w:r w:rsidR="004279B8" w:rsidRPr="00653649">
                              <w:rPr>
                                <w:rFonts w:ascii="Calibri" w:hAnsi="Calibri" w:cs="Calibri"/>
                                <w:i/>
                                <w:iCs/>
                                <w:sz w:val="20"/>
                              </w:rPr>
                              <w:t xml:space="preserve"> and commitment of all our great teams to transform the Group commercially and technologically while digitizing our customer journey and decarbonizing aggressively, delivering long-term value to all our stakeholders.”</w:t>
                            </w:r>
                          </w:p>
                          <w:p w14:paraId="7A5D51C2" w14:textId="77777777" w:rsidR="00110AC2" w:rsidRPr="00110AC2" w:rsidRDefault="00110AC2" w:rsidP="00110AC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A6EC2" id="Rectangle 36" o:spid="_x0000_s1026" style="position:absolute;left:0;text-align:left;margin-left:-.8pt;margin-top:17.2pt;width:478.65pt;height:100.8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" fillcolor="#f2f2f2" stroked="f" strokeweight="1.25pt">
                <v:textbox>
                  <w:txbxContent>
                    <w:p w14:paraId="14384437" w14:textId="6B8FBD1A" w:rsidR="00110AC2" w:rsidRPr="004279B8" w:rsidRDefault="00110AC2" w:rsidP="00110AC2">
                      <w:pPr>
                        <w:pStyle w:val="quoteitalics"/>
                        <w:spacing w:after="0" w:line="240" w:lineRule="auto"/>
                        <w:ind w:firstLine="288"/>
                        <w:jc w:val="both"/>
                        <w:rPr>
                          <w:rFonts w:ascii="Calibri" w:hAnsi="Calibri" w:cs="Calibri"/>
                          <w:color w:val="00183D"/>
                        </w:rPr>
                      </w:pPr>
                      <w:r w:rsidRPr="004279B8">
                        <w:rPr>
                          <w:rFonts w:ascii="Calibri" w:hAnsi="Calibri" w:cs="Calibri"/>
                          <w:color w:val="00183D"/>
                        </w:rPr>
                        <w:t xml:space="preserve">Marcel Cobuz, Chairman of the Group Executive Committee   </w:t>
                      </w:r>
                    </w:p>
                    <w:p w14:paraId="4D9DB783" w14:textId="77777777" w:rsidR="00110AC2" w:rsidRPr="00653649" w:rsidRDefault="00110AC2" w:rsidP="00110AC2">
                      <w:pPr>
                        <w:pStyle w:val="quoteitalics"/>
                        <w:spacing w:after="0" w:line="240" w:lineRule="auto"/>
                        <w:ind w:firstLine="288"/>
                        <w:jc w:val="both"/>
                        <w:rPr>
                          <w:rFonts w:ascii="Calibri" w:hAnsi="Calibri" w:cs="Calibri"/>
                          <w:color w:val="00183D"/>
                          <w:sz w:val="12"/>
                          <w:szCs w:val="10"/>
                        </w:rPr>
                      </w:pPr>
                    </w:p>
                    <w:p w14:paraId="36960C02" w14:textId="36F402F3" w:rsidR="00110AC2" w:rsidRPr="00653649" w:rsidRDefault="00694622" w:rsidP="00714582">
                      <w:pPr>
                        <w:pStyle w:val="Copy-bullets"/>
                        <w:numPr>
                          <w:ilvl w:val="0"/>
                          <w:numId w:val="0"/>
                        </w:numPr>
                        <w:ind w:left="288" w:right="324"/>
                        <w:jc w:val="both"/>
                        <w:rPr>
                          <w:rFonts w:ascii="Calibri" w:hAnsi="Calibri" w:cs="Calibri"/>
                          <w:i/>
                          <w:iCs/>
                          <w:sz w:val="20"/>
                        </w:rPr>
                      </w:pPr>
                      <w:r w:rsidRPr="00653649">
                        <w:rPr>
                          <w:rFonts w:ascii="Calibri" w:hAnsi="Calibri" w:cs="Calibri"/>
                          <w:i/>
                          <w:iCs/>
                          <w:sz w:val="20"/>
                        </w:rPr>
                        <w:t>“</w:t>
                      </w:r>
                      <w:r w:rsidR="004279B8" w:rsidRPr="00653649">
                        <w:rPr>
                          <w:rFonts w:ascii="Calibri" w:hAnsi="Calibri" w:cs="Calibri"/>
                          <w:i/>
                          <w:iCs/>
                          <w:sz w:val="20"/>
                        </w:rPr>
                        <w:t xml:space="preserve">The great performance results highlight the Group's ability to adapt to market conditions and to activate effective growth strategies, driving positive financial performance mainly in US and Europe, where we serve </w:t>
                      </w:r>
                      <w:proofErr w:type="gramStart"/>
                      <w:r w:rsidR="004279B8" w:rsidRPr="00653649">
                        <w:rPr>
                          <w:rFonts w:ascii="Calibri" w:hAnsi="Calibri" w:cs="Calibri"/>
                          <w:i/>
                          <w:iCs/>
                          <w:sz w:val="20"/>
                        </w:rPr>
                        <w:t>the majority of</w:t>
                      </w:r>
                      <w:proofErr w:type="gramEnd"/>
                      <w:r w:rsidR="004279B8" w:rsidRPr="00653649">
                        <w:rPr>
                          <w:rFonts w:ascii="Calibri" w:hAnsi="Calibri" w:cs="Calibri"/>
                          <w:i/>
                          <w:iCs/>
                          <w:sz w:val="20"/>
                        </w:rPr>
                        <w:t xml:space="preserve"> our customers and have close to 90% of our sales. They also underscore the Group’s resilience, adaptability and commitment of all our great teams to transform the Group commercially and technologically while digitizing our customer journey and decarbonizing aggressively, delivering long-term value to all our stakeholders.”</w:t>
                      </w:r>
                    </w:p>
                    <w:p w14:paraId="7A5D51C2" w14:textId="77777777" w:rsidR="00110AC2" w:rsidRPr="00110AC2" w:rsidRDefault="00110AC2" w:rsidP="00110AC2">
                      <w:pPr>
                        <w:jc w:val="center"/>
                        <w:rPr>
                          <w:lang w:val="en-GB"/>
                        </w:rPr>
                      </w:pPr>
                    </w:p>
                  </w:txbxContent>
                </v:textbox>
                <w10:wrap anchorx="margin"/>
              </v:rect>
            </w:pict>
          </mc:Fallback>
        </mc:AlternateContent>
      </w:r>
    </w:p>
    <w:p w14:paraId="7E1B7816" w14:textId="685B1573" w:rsidR="00C70BA4" w:rsidRDefault="00C70BA4" w:rsidP="00C70BA4">
      <w:pPr>
        <w:widowControl w:val="0"/>
        <w:autoSpaceDE w:val="0"/>
        <w:autoSpaceDN w:val="0"/>
        <w:spacing w:before="120"/>
        <w:ind w:right="113"/>
        <w:jc w:val="both"/>
        <w:rPr>
          <w:rFonts w:ascii="Calibri" w:hAnsi="Calibri" w:cs="Calibri"/>
        </w:rPr>
      </w:pPr>
    </w:p>
    <w:p w14:paraId="6B225CC1" w14:textId="1D5C78C6" w:rsidR="00C70BA4" w:rsidRPr="00C70BA4" w:rsidRDefault="00C70BA4" w:rsidP="00C70BA4">
      <w:pPr>
        <w:widowControl w:val="0"/>
        <w:autoSpaceDE w:val="0"/>
        <w:autoSpaceDN w:val="0"/>
        <w:spacing w:before="120"/>
        <w:ind w:right="113"/>
        <w:jc w:val="both"/>
        <w:rPr>
          <w:rFonts w:ascii="Calibri" w:hAnsi="Calibri" w:cs="Calibri"/>
        </w:rPr>
      </w:pPr>
    </w:p>
    <w:p w14:paraId="493429C5" w14:textId="77777777" w:rsidR="00040FF8" w:rsidRPr="0087712A" w:rsidRDefault="00040FF8" w:rsidP="00040FF8">
      <w:pPr>
        <w:pStyle w:val="BodyText"/>
        <w:ind w:left="426" w:right="-30"/>
        <w:jc w:val="both"/>
        <w:rPr>
          <w:rFonts w:ascii="Calibri" w:hAnsi="Calibri" w:cs="Calibri"/>
          <w:b/>
          <w:sz w:val="22"/>
          <w:szCs w:val="22"/>
          <w:lang w:val="en-GB"/>
        </w:rPr>
      </w:pPr>
    </w:p>
    <w:p w14:paraId="71333BDC" w14:textId="77777777" w:rsidR="00040FF8" w:rsidRDefault="00040FF8" w:rsidP="00040FF8">
      <w:pPr>
        <w:pStyle w:val="BodyText"/>
        <w:rPr>
          <w:rFonts w:ascii="Calibri" w:hAnsi="Calibri" w:cs="Calibri"/>
          <w:sz w:val="20"/>
          <w:lang w:val="en-GB"/>
        </w:rPr>
      </w:pPr>
    </w:p>
    <w:p w14:paraId="263CDF66" w14:textId="77777777" w:rsidR="00B704B4" w:rsidRDefault="00B704B4" w:rsidP="00040FF8">
      <w:pPr>
        <w:pStyle w:val="BodyText"/>
        <w:rPr>
          <w:rFonts w:ascii="Calibri" w:hAnsi="Calibri" w:cs="Calibri"/>
          <w:sz w:val="20"/>
          <w:lang w:val="en-GB"/>
        </w:rPr>
      </w:pPr>
    </w:p>
    <w:p w14:paraId="05A8BAFA" w14:textId="77777777" w:rsidR="00B704B4" w:rsidRDefault="00B704B4" w:rsidP="00040FF8">
      <w:pPr>
        <w:pStyle w:val="BodyText"/>
        <w:rPr>
          <w:rFonts w:ascii="Calibri" w:hAnsi="Calibri" w:cs="Calibri"/>
          <w:sz w:val="20"/>
          <w:lang w:val="en-GB"/>
        </w:rPr>
      </w:pPr>
    </w:p>
    <w:p w14:paraId="3545B935" w14:textId="0E861266" w:rsidR="00B704B4" w:rsidRDefault="00B704B4" w:rsidP="00040FF8">
      <w:pPr>
        <w:pStyle w:val="BodyText"/>
        <w:rPr>
          <w:rFonts w:ascii="Calibri" w:hAnsi="Calibri" w:cs="Calibri"/>
          <w:sz w:val="20"/>
          <w:lang w:val="en-GB"/>
        </w:rPr>
      </w:pPr>
    </w:p>
    <w:p w14:paraId="5B475392" w14:textId="487C7E37" w:rsidR="00B704B4" w:rsidRDefault="0054562A" w:rsidP="00040FF8">
      <w:pPr>
        <w:pStyle w:val="BodyText"/>
        <w:rPr>
          <w:rFonts w:ascii="Calibri" w:hAnsi="Calibri" w:cs="Calibri"/>
          <w:sz w:val="20"/>
          <w:lang w:val="en-GB"/>
        </w:rPr>
      </w:pPr>
      <w:r w:rsidRPr="002C09EE">
        <w:rPr>
          <w:rFonts w:ascii="Calibri" w:hAnsi="Calibri" w:cs="Calibri"/>
          <w:noProof/>
          <w:color w:val="FF0000"/>
        </w:rPr>
        <mc:AlternateContent>
          <mc:Choice Requires="wps">
            <w:drawing>
              <wp:anchor distT="0" distB="0" distL="114300" distR="114300" simplePos="0" relativeHeight="251658267" behindDoc="1" locked="0" layoutInCell="1" allowOverlap="1" wp14:anchorId="210170A8" wp14:editId="6C50CA64">
                <wp:simplePos x="0" y="0"/>
                <wp:positionH relativeFrom="margin">
                  <wp:posOffset>-4445</wp:posOffset>
                </wp:positionH>
                <wp:positionV relativeFrom="paragraph">
                  <wp:posOffset>85535</wp:posOffset>
                </wp:positionV>
                <wp:extent cx="6078855" cy="1319916"/>
                <wp:effectExtent l="0" t="0" r="0" b="0"/>
                <wp:wrapNone/>
                <wp:docPr id="29" name="Rectangle 29"/>
                <wp:cNvGraphicFramePr/>
                <a:graphic xmlns:a="http://schemas.openxmlformats.org/drawingml/2006/main">
                  <a:graphicData uri="http://schemas.microsoft.com/office/word/2010/wordprocessingShape">
                    <wps:wsp>
                      <wps:cNvSpPr/>
                      <wps:spPr>
                        <a:xfrm>
                          <a:off x="0" y="0"/>
                          <a:ext cx="6078855" cy="1319916"/>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C1244" w14:textId="77777777" w:rsidR="00D855E3" w:rsidRPr="00CC4A60" w:rsidRDefault="00D855E3" w:rsidP="00D855E3">
                            <w:pPr>
                              <w:pStyle w:val="quoteitalics"/>
                              <w:spacing w:after="0" w:line="240" w:lineRule="auto"/>
                              <w:ind w:firstLine="288"/>
                              <w:jc w:val="both"/>
                              <w:rPr>
                                <w:rFonts w:ascii="Calibri" w:hAnsi="Calibri" w:cs="Calibri"/>
                                <w:color w:val="00183D"/>
                              </w:rPr>
                            </w:pPr>
                            <w:r w:rsidRPr="00CC4A60">
                              <w:rPr>
                                <w:rFonts w:ascii="Calibri" w:hAnsi="Calibri" w:cs="Calibri"/>
                                <w:color w:val="00183D"/>
                              </w:rPr>
                              <w:t xml:space="preserve">Michael </w:t>
                            </w:r>
                            <w:proofErr w:type="spellStart"/>
                            <w:r w:rsidRPr="00CC4A60">
                              <w:rPr>
                                <w:rFonts w:ascii="Calibri" w:hAnsi="Calibri" w:cs="Calibri"/>
                                <w:color w:val="00183D"/>
                              </w:rPr>
                              <w:t>Colakides</w:t>
                            </w:r>
                            <w:proofErr w:type="spellEnd"/>
                            <w:r w:rsidRPr="00CC4A60">
                              <w:rPr>
                                <w:rFonts w:ascii="Calibri" w:hAnsi="Calibri" w:cs="Calibri"/>
                                <w:color w:val="00183D"/>
                              </w:rPr>
                              <w:t xml:space="preserve">, Managing Director of TCI &amp; Group CFO   </w:t>
                            </w:r>
                          </w:p>
                          <w:p w14:paraId="5555AB53" w14:textId="77777777" w:rsidR="00203744" w:rsidRPr="00653649" w:rsidRDefault="00203744" w:rsidP="00203744">
                            <w:pPr>
                              <w:pStyle w:val="quoteitalics"/>
                              <w:spacing w:after="0" w:line="240" w:lineRule="auto"/>
                              <w:ind w:firstLine="288"/>
                              <w:jc w:val="both"/>
                              <w:rPr>
                                <w:rFonts w:ascii="Calibri" w:eastAsia="Calibri" w:hAnsi="Calibri" w:cs="Calibri"/>
                                <w:b/>
                                <w:bCs/>
                                <w:sz w:val="12"/>
                                <w:szCs w:val="10"/>
                              </w:rPr>
                            </w:pPr>
                          </w:p>
                          <w:p w14:paraId="446F8CF9" w14:textId="21F61C18" w:rsidR="00F23475" w:rsidRPr="00653649" w:rsidRDefault="00F23475" w:rsidP="00714582">
                            <w:pPr>
                              <w:pStyle w:val="Copy-bullets"/>
                              <w:numPr>
                                <w:ilvl w:val="0"/>
                                <w:numId w:val="0"/>
                              </w:numPr>
                              <w:ind w:left="288" w:right="324"/>
                              <w:jc w:val="both"/>
                              <w:rPr>
                                <w:rFonts w:ascii="Calibri" w:hAnsi="Calibri" w:cs="Calibri"/>
                                <w:i/>
                                <w:iCs/>
                                <w:sz w:val="20"/>
                              </w:rPr>
                            </w:pPr>
                            <w:r w:rsidRPr="00653649">
                              <w:rPr>
                                <w:rFonts w:ascii="Calibri" w:hAnsi="Calibri" w:cs="Calibri"/>
                                <w:i/>
                                <w:iCs/>
                                <w:sz w:val="20"/>
                              </w:rPr>
                              <w:t xml:space="preserve">“We are proud we closed </w:t>
                            </w:r>
                            <w:r w:rsidR="00BE002B" w:rsidRPr="00653649">
                              <w:rPr>
                                <w:rFonts w:ascii="Calibri" w:hAnsi="Calibri" w:cs="Calibri"/>
                                <w:i/>
                                <w:iCs/>
                                <w:sz w:val="20"/>
                              </w:rPr>
                              <w:t>the</w:t>
                            </w:r>
                            <w:r w:rsidRPr="00653649">
                              <w:rPr>
                                <w:rFonts w:ascii="Calibri" w:hAnsi="Calibri" w:cs="Calibri"/>
                                <w:i/>
                                <w:iCs/>
                                <w:sz w:val="20"/>
                              </w:rPr>
                              <w:t xml:space="preserve"> year with record sales and the best EBITDA profitability performance for over a decade. All our regions posted double-digit profitability growth as our margins recovered, on the back of dynamic pricing and cost-efficiency actions </w:t>
                            </w:r>
                            <w:proofErr w:type="spellStart"/>
                            <w:r w:rsidR="00834871" w:rsidRPr="00653649">
                              <w:rPr>
                                <w:rFonts w:ascii="Calibri" w:hAnsi="Calibri" w:cs="Calibri"/>
                                <w:i/>
                                <w:iCs/>
                                <w:sz w:val="20"/>
                              </w:rPr>
                              <w:t>outwe</w:t>
                            </w:r>
                            <w:r w:rsidR="00834871" w:rsidRPr="00653649">
                              <w:rPr>
                                <w:rFonts w:ascii="Calibri" w:hAnsi="Calibri" w:cs="Calibri"/>
                                <w:i/>
                                <w:iCs/>
                                <w:sz w:val="20"/>
                                <w:lang w:val="en-US"/>
                              </w:rPr>
                              <w:t>ighing</w:t>
                            </w:r>
                            <w:proofErr w:type="spellEnd"/>
                            <w:r w:rsidRPr="00653649">
                              <w:rPr>
                                <w:rFonts w:ascii="Calibri" w:hAnsi="Calibri" w:cs="Calibri"/>
                                <w:i/>
                                <w:iCs/>
                                <w:sz w:val="20"/>
                                <w:lang w:val="en-US"/>
                              </w:rPr>
                              <w:t xml:space="preserve"> the impact of cost inflationary pressures.</w:t>
                            </w:r>
                            <w:r w:rsidR="00E76C15" w:rsidRPr="00653649">
                              <w:rPr>
                                <w:rFonts w:ascii="Calibri" w:hAnsi="Calibri" w:cs="Calibri"/>
                                <w:i/>
                                <w:iCs/>
                                <w:sz w:val="20"/>
                                <w:lang w:val="en-US"/>
                              </w:rPr>
                              <w:t xml:space="preserve"> </w:t>
                            </w:r>
                            <w:r w:rsidR="003E79BD" w:rsidRPr="00653649">
                              <w:rPr>
                                <w:rFonts w:ascii="Calibri" w:hAnsi="Calibri" w:cs="Calibri"/>
                                <w:i/>
                                <w:iCs/>
                                <w:sz w:val="20"/>
                              </w:rPr>
                              <w:t>Our improvement in debt leverage coupled with an active investment growth portfolio, continuous shares buyback and the proposed dividend increase show our confidence in the business model and growth profile of the company</w:t>
                            </w:r>
                            <w:r w:rsidRPr="00653649">
                              <w:rPr>
                                <w:rFonts w:ascii="Calibri" w:hAnsi="Calibri" w:cs="Calibri"/>
                                <w:i/>
                                <w:iCs/>
                                <w:sz w:val="20"/>
                                <w:lang w:val="en-US"/>
                              </w:rPr>
                              <w:t>.</w:t>
                            </w:r>
                            <w:r w:rsidRPr="00653649">
                              <w:rPr>
                                <w:rFonts w:ascii="Calibri" w:hAnsi="Calibri" w:cs="Calibri"/>
                                <w:i/>
                                <w:iCs/>
                                <w:sz w:val="20"/>
                              </w:rPr>
                              <w:t>”</w:t>
                            </w:r>
                          </w:p>
                          <w:p w14:paraId="07DD53E8" w14:textId="77777777" w:rsidR="00203744" w:rsidRPr="00110AC2" w:rsidRDefault="00203744" w:rsidP="00203744">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170A8" id="Rectangle 29" o:spid="_x0000_s1027" style="position:absolute;margin-left:-.35pt;margin-top:6.75pt;width:478.65pt;height:103.95pt;z-index:-2516582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" fillcolor="#f2f2f2" stroked="f" strokeweight="1.25pt">
                <v:textbox>
                  <w:txbxContent>
                    <w:p w14:paraId="524C1244" w14:textId="77777777" w:rsidR="00D855E3" w:rsidRPr="00CC4A60" w:rsidRDefault="00D855E3" w:rsidP="00D855E3">
                      <w:pPr>
                        <w:pStyle w:val="quoteitalics"/>
                        <w:spacing w:after="0" w:line="240" w:lineRule="auto"/>
                        <w:ind w:firstLine="288"/>
                        <w:jc w:val="both"/>
                        <w:rPr>
                          <w:rFonts w:ascii="Calibri" w:hAnsi="Calibri" w:cs="Calibri"/>
                          <w:color w:val="00183D"/>
                        </w:rPr>
                      </w:pPr>
                      <w:r w:rsidRPr="00CC4A60">
                        <w:rPr>
                          <w:rFonts w:ascii="Calibri" w:hAnsi="Calibri" w:cs="Calibri"/>
                          <w:color w:val="00183D"/>
                        </w:rPr>
                        <w:t xml:space="preserve">Michael Colakides, Managing Director of TCI &amp; Group CFO   </w:t>
                      </w:r>
                    </w:p>
                    <w:p w14:paraId="5555AB53" w14:textId="77777777" w:rsidR="00203744" w:rsidRPr="00653649" w:rsidRDefault="00203744" w:rsidP="00203744">
                      <w:pPr>
                        <w:pStyle w:val="quoteitalics"/>
                        <w:spacing w:after="0" w:line="240" w:lineRule="auto"/>
                        <w:ind w:firstLine="288"/>
                        <w:jc w:val="both"/>
                        <w:rPr>
                          <w:rFonts w:ascii="Calibri" w:eastAsia="Calibri" w:hAnsi="Calibri" w:cs="Calibri"/>
                          <w:b/>
                          <w:bCs/>
                          <w:sz w:val="12"/>
                          <w:szCs w:val="10"/>
                        </w:rPr>
                      </w:pPr>
                    </w:p>
                    <w:p w14:paraId="446F8CF9" w14:textId="21F61C18" w:rsidR="00F23475" w:rsidRPr="00653649" w:rsidRDefault="00F23475" w:rsidP="00714582">
                      <w:pPr>
                        <w:pStyle w:val="Copy-bullets"/>
                        <w:numPr>
                          <w:ilvl w:val="0"/>
                          <w:numId w:val="0"/>
                        </w:numPr>
                        <w:ind w:left="288" w:right="324"/>
                        <w:jc w:val="both"/>
                        <w:rPr>
                          <w:rFonts w:ascii="Calibri" w:hAnsi="Calibri" w:cs="Calibri"/>
                          <w:i/>
                          <w:iCs/>
                          <w:sz w:val="20"/>
                        </w:rPr>
                      </w:pPr>
                      <w:r w:rsidRPr="00653649">
                        <w:rPr>
                          <w:rFonts w:ascii="Calibri" w:hAnsi="Calibri" w:cs="Calibri"/>
                          <w:i/>
                          <w:iCs/>
                          <w:sz w:val="20"/>
                        </w:rPr>
                        <w:t xml:space="preserve">“We are proud we closed </w:t>
                      </w:r>
                      <w:r w:rsidR="00BE002B" w:rsidRPr="00653649">
                        <w:rPr>
                          <w:rFonts w:ascii="Calibri" w:hAnsi="Calibri" w:cs="Calibri"/>
                          <w:i/>
                          <w:iCs/>
                          <w:sz w:val="20"/>
                        </w:rPr>
                        <w:t>the</w:t>
                      </w:r>
                      <w:r w:rsidRPr="00653649">
                        <w:rPr>
                          <w:rFonts w:ascii="Calibri" w:hAnsi="Calibri" w:cs="Calibri"/>
                          <w:i/>
                          <w:iCs/>
                          <w:sz w:val="20"/>
                        </w:rPr>
                        <w:t xml:space="preserve"> year with record sales and the best EBITDA profitability performance for over a decade. All our regions posted double-digit profitability growth as our margins recovered, on the back of dynamic pricing and cost-efficiency actions </w:t>
                      </w:r>
                      <w:proofErr w:type="spellStart"/>
                      <w:r w:rsidR="00834871" w:rsidRPr="00653649">
                        <w:rPr>
                          <w:rFonts w:ascii="Calibri" w:hAnsi="Calibri" w:cs="Calibri"/>
                          <w:i/>
                          <w:iCs/>
                          <w:sz w:val="20"/>
                        </w:rPr>
                        <w:t>outwe</w:t>
                      </w:r>
                      <w:r w:rsidR="00834871" w:rsidRPr="00653649">
                        <w:rPr>
                          <w:rFonts w:ascii="Calibri" w:hAnsi="Calibri" w:cs="Calibri"/>
                          <w:i/>
                          <w:iCs/>
                          <w:sz w:val="20"/>
                          <w:lang w:val="en-US"/>
                        </w:rPr>
                        <w:t>ighing</w:t>
                      </w:r>
                      <w:proofErr w:type="spellEnd"/>
                      <w:r w:rsidRPr="00653649">
                        <w:rPr>
                          <w:rFonts w:ascii="Calibri" w:hAnsi="Calibri" w:cs="Calibri"/>
                          <w:i/>
                          <w:iCs/>
                          <w:sz w:val="20"/>
                          <w:lang w:val="en-US"/>
                        </w:rPr>
                        <w:t xml:space="preserve"> the impact of cost inflationary pressures.</w:t>
                      </w:r>
                      <w:r w:rsidR="00E76C15" w:rsidRPr="00653649">
                        <w:rPr>
                          <w:rFonts w:ascii="Calibri" w:hAnsi="Calibri" w:cs="Calibri"/>
                          <w:i/>
                          <w:iCs/>
                          <w:sz w:val="20"/>
                          <w:lang w:val="en-US"/>
                        </w:rPr>
                        <w:t xml:space="preserve"> </w:t>
                      </w:r>
                      <w:r w:rsidR="003E79BD" w:rsidRPr="00653649">
                        <w:rPr>
                          <w:rFonts w:ascii="Calibri" w:hAnsi="Calibri" w:cs="Calibri"/>
                          <w:i/>
                          <w:iCs/>
                          <w:sz w:val="20"/>
                        </w:rPr>
                        <w:t>Our improvement in debt leverage coupled with an active investment growth portfolio, continuous shares buyback and the proposed dividend increase show our confidence in the business model and growth profile of the company</w:t>
                      </w:r>
                      <w:r w:rsidRPr="00653649">
                        <w:rPr>
                          <w:rFonts w:ascii="Calibri" w:hAnsi="Calibri" w:cs="Calibri"/>
                          <w:i/>
                          <w:iCs/>
                          <w:sz w:val="20"/>
                          <w:lang w:val="en-US"/>
                        </w:rPr>
                        <w:t>.</w:t>
                      </w:r>
                      <w:r w:rsidRPr="00653649">
                        <w:rPr>
                          <w:rFonts w:ascii="Calibri" w:hAnsi="Calibri" w:cs="Calibri"/>
                          <w:i/>
                          <w:iCs/>
                          <w:sz w:val="20"/>
                        </w:rPr>
                        <w:t>”</w:t>
                      </w:r>
                    </w:p>
                    <w:p w14:paraId="07DD53E8" w14:textId="77777777" w:rsidR="00203744" w:rsidRPr="00110AC2" w:rsidRDefault="00203744" w:rsidP="00203744">
                      <w:pPr>
                        <w:jc w:val="center"/>
                        <w:rPr>
                          <w:lang w:val="en-GB"/>
                        </w:rPr>
                      </w:pPr>
                    </w:p>
                  </w:txbxContent>
                </v:textbox>
                <w10:wrap anchorx="margin"/>
              </v:rect>
            </w:pict>
          </mc:Fallback>
        </mc:AlternateContent>
      </w:r>
    </w:p>
    <w:p w14:paraId="6238BDAC" w14:textId="7F71494C" w:rsidR="00B704B4" w:rsidRDefault="00B704B4" w:rsidP="00040FF8">
      <w:pPr>
        <w:pStyle w:val="BodyText"/>
        <w:rPr>
          <w:rFonts w:ascii="Calibri" w:hAnsi="Calibri" w:cs="Calibri"/>
          <w:sz w:val="20"/>
          <w:lang w:val="en-GB"/>
        </w:rPr>
      </w:pPr>
    </w:p>
    <w:p w14:paraId="39D41CDE" w14:textId="7F6A157E" w:rsidR="00B704B4" w:rsidRDefault="00B704B4" w:rsidP="00040FF8">
      <w:pPr>
        <w:pStyle w:val="BodyText"/>
        <w:rPr>
          <w:rFonts w:ascii="Calibri" w:hAnsi="Calibri" w:cs="Calibri"/>
          <w:sz w:val="20"/>
          <w:lang w:val="en-GB"/>
        </w:rPr>
      </w:pPr>
    </w:p>
    <w:p w14:paraId="0C6E7D97" w14:textId="61822302" w:rsidR="00203744" w:rsidRDefault="00203744" w:rsidP="00040FF8">
      <w:pPr>
        <w:pStyle w:val="BodyText"/>
        <w:rPr>
          <w:rFonts w:ascii="Calibri" w:hAnsi="Calibri" w:cs="Calibri"/>
          <w:sz w:val="20"/>
          <w:lang w:val="en-GB"/>
        </w:rPr>
      </w:pPr>
    </w:p>
    <w:p w14:paraId="4F16C48A" w14:textId="7C6511CC" w:rsidR="00203744" w:rsidRDefault="00203744" w:rsidP="00040FF8">
      <w:pPr>
        <w:pStyle w:val="BodyText"/>
        <w:rPr>
          <w:rFonts w:ascii="Calibri" w:hAnsi="Calibri" w:cs="Calibri"/>
          <w:sz w:val="20"/>
          <w:lang w:val="en-GB"/>
        </w:rPr>
      </w:pPr>
    </w:p>
    <w:p w14:paraId="1221EAA5" w14:textId="77777777" w:rsidR="00B704B4" w:rsidRDefault="00B704B4" w:rsidP="00040FF8">
      <w:pPr>
        <w:pStyle w:val="BodyText"/>
        <w:rPr>
          <w:rFonts w:ascii="Calibri" w:hAnsi="Calibri" w:cs="Calibri"/>
          <w:sz w:val="20"/>
          <w:lang w:val="en-GB"/>
        </w:rPr>
      </w:pPr>
    </w:p>
    <w:p w14:paraId="4B9974BB" w14:textId="77777777" w:rsidR="00203744" w:rsidRDefault="00203744" w:rsidP="00040FF8">
      <w:pPr>
        <w:pStyle w:val="BodyText"/>
        <w:rPr>
          <w:rFonts w:ascii="Calibri" w:hAnsi="Calibri" w:cs="Calibri"/>
          <w:sz w:val="20"/>
          <w:lang w:val="en-GB"/>
        </w:rPr>
      </w:pPr>
    </w:p>
    <w:p w14:paraId="39CD11DC" w14:textId="77777777" w:rsidR="00203744" w:rsidRDefault="00203744" w:rsidP="00040FF8">
      <w:pPr>
        <w:pStyle w:val="BodyText"/>
        <w:rPr>
          <w:rFonts w:ascii="Calibri" w:hAnsi="Calibri" w:cs="Calibri"/>
          <w:sz w:val="20"/>
          <w:lang w:val="en-GB"/>
        </w:rPr>
      </w:pPr>
    </w:p>
    <w:p w14:paraId="1A795437" w14:textId="77777777" w:rsidR="00203744" w:rsidRDefault="00203744" w:rsidP="00040FF8">
      <w:pPr>
        <w:pStyle w:val="BodyText"/>
        <w:rPr>
          <w:rFonts w:ascii="Calibri" w:hAnsi="Calibri" w:cs="Calibri"/>
          <w:sz w:val="20"/>
          <w:lang w:val="en-GB"/>
        </w:rPr>
      </w:pPr>
    </w:p>
    <w:p w14:paraId="35E9A1D6" w14:textId="77777777" w:rsidR="00B704B4" w:rsidRPr="0087712A" w:rsidRDefault="00B704B4" w:rsidP="00040FF8">
      <w:pPr>
        <w:pStyle w:val="BodyText"/>
        <w:rPr>
          <w:rFonts w:ascii="Calibri" w:hAnsi="Calibri" w:cs="Calibri"/>
          <w:sz w:val="20"/>
          <w:lang w:val="en-GB"/>
        </w:rPr>
      </w:pPr>
    </w:p>
    <w:tbl>
      <w:tblPr>
        <w:tblpPr w:leftFromText="180" w:rightFromText="180" w:vertAnchor="text" w:horzAnchor="margin" w:tblpY="-100"/>
        <w:tblW w:w="9752" w:type="dxa"/>
        <w:tblLayout w:type="fixed"/>
        <w:tblCellMar>
          <w:left w:w="0" w:type="dxa"/>
          <w:right w:w="0" w:type="dxa"/>
        </w:tblCellMar>
        <w:tblLook w:val="01E0" w:firstRow="1" w:lastRow="1" w:firstColumn="1" w:lastColumn="1" w:noHBand="0" w:noVBand="0"/>
      </w:tblPr>
      <w:tblGrid>
        <w:gridCol w:w="3119"/>
        <w:gridCol w:w="57"/>
        <w:gridCol w:w="1077"/>
        <w:gridCol w:w="1077"/>
        <w:gridCol w:w="1077"/>
        <w:gridCol w:w="57"/>
        <w:gridCol w:w="1077"/>
        <w:gridCol w:w="1077"/>
        <w:gridCol w:w="1077"/>
        <w:gridCol w:w="57"/>
      </w:tblGrid>
      <w:tr w:rsidR="00C53AD2" w:rsidRPr="0087712A" w14:paraId="1826365C" w14:textId="77777777" w:rsidTr="00BD207F">
        <w:trPr>
          <w:trHeight w:val="330"/>
        </w:trPr>
        <w:tc>
          <w:tcPr>
            <w:tcW w:w="3119" w:type="dxa"/>
            <w:tcBorders>
              <w:bottom w:val="single" w:sz="4" w:space="0" w:color="000000"/>
            </w:tcBorders>
            <w:vAlign w:val="center"/>
          </w:tcPr>
          <w:p w14:paraId="558C6A32" w14:textId="77777777" w:rsidR="00C53AD2" w:rsidRPr="0087712A" w:rsidRDefault="00C53AD2" w:rsidP="00C53AD2">
            <w:pPr>
              <w:pStyle w:val="TableParagraph"/>
              <w:spacing w:before="11" w:line="240" w:lineRule="auto"/>
              <w:jc w:val="left"/>
              <w:rPr>
                <w:b/>
                <w:sz w:val="10"/>
                <w:lang w:val="en-GB"/>
              </w:rPr>
            </w:pPr>
          </w:p>
          <w:p w14:paraId="06D2E300" w14:textId="77777777" w:rsidR="00C53AD2" w:rsidRPr="0087712A" w:rsidRDefault="00C53AD2" w:rsidP="00C53AD2">
            <w:pPr>
              <w:pStyle w:val="TableParagraph"/>
              <w:spacing w:line="240" w:lineRule="auto"/>
              <w:ind w:left="122"/>
              <w:jc w:val="left"/>
              <w:rPr>
                <w:i/>
                <w:sz w:val="14"/>
                <w:lang w:val="en-GB"/>
              </w:rPr>
            </w:pPr>
            <w:r w:rsidRPr="0087712A">
              <w:rPr>
                <w:i/>
                <w:color w:val="00173C"/>
                <w:sz w:val="14"/>
                <w:lang w:val="en-GB"/>
              </w:rPr>
              <w:t>In million Euros, unless otherwise stated</w:t>
            </w:r>
          </w:p>
        </w:tc>
        <w:tc>
          <w:tcPr>
            <w:tcW w:w="57" w:type="dxa"/>
            <w:tcBorders>
              <w:bottom w:val="single" w:sz="4" w:space="0" w:color="000000"/>
            </w:tcBorders>
            <w:shd w:val="clear" w:color="auto" w:fill="D9D9D9" w:themeFill="background1" w:themeFillShade="D9"/>
          </w:tcPr>
          <w:p w14:paraId="635B1A84" w14:textId="77777777" w:rsidR="00C53AD2" w:rsidRPr="0087712A" w:rsidRDefault="00C53AD2" w:rsidP="00C53AD2">
            <w:pPr>
              <w:pStyle w:val="TableParagraph"/>
              <w:spacing w:before="83" w:line="240" w:lineRule="auto"/>
              <w:ind w:right="105"/>
              <w:rPr>
                <w:b/>
                <w:color w:val="00B0D6"/>
                <w:sz w:val="21"/>
                <w:lang w:val="en-US"/>
              </w:rPr>
            </w:pPr>
          </w:p>
        </w:tc>
        <w:tc>
          <w:tcPr>
            <w:tcW w:w="1077" w:type="dxa"/>
            <w:tcBorders>
              <w:bottom w:val="single" w:sz="4" w:space="0" w:color="000000"/>
            </w:tcBorders>
            <w:shd w:val="clear" w:color="auto" w:fill="F2F2F2" w:themeFill="background1" w:themeFillShade="F2"/>
          </w:tcPr>
          <w:p w14:paraId="635EC219" w14:textId="77777777" w:rsidR="00C53AD2" w:rsidRPr="0087712A" w:rsidRDefault="00C53AD2" w:rsidP="00C53AD2">
            <w:pPr>
              <w:pStyle w:val="TableParagraph"/>
              <w:spacing w:before="83" w:line="240" w:lineRule="auto"/>
              <w:ind w:right="105"/>
              <w:rPr>
                <w:b/>
                <w:color w:val="00B0D6"/>
                <w:sz w:val="36"/>
                <w:szCs w:val="36"/>
                <w:lang w:val="en-US"/>
              </w:rPr>
            </w:pPr>
            <w:r w:rsidRPr="0087712A">
              <w:rPr>
                <w:b/>
                <w:color w:val="00B0D6"/>
                <w:sz w:val="21"/>
                <w:lang w:val="en-US"/>
              </w:rPr>
              <w:t xml:space="preserve">FY </w:t>
            </w:r>
          </w:p>
          <w:p w14:paraId="7934DDF3" w14:textId="45491FE2" w:rsidR="00C53AD2" w:rsidRPr="0087712A" w:rsidRDefault="00C53AD2" w:rsidP="00C53AD2">
            <w:pPr>
              <w:pStyle w:val="TableParagraph"/>
              <w:spacing w:before="83" w:line="240" w:lineRule="auto"/>
              <w:ind w:right="105"/>
              <w:rPr>
                <w:b/>
                <w:color w:val="00B0D6"/>
                <w:sz w:val="21"/>
                <w:lang w:val="en-US"/>
              </w:rPr>
            </w:pPr>
            <w:r w:rsidRPr="0087712A">
              <w:rPr>
                <w:b/>
                <w:color w:val="00B0D6"/>
                <w:sz w:val="21"/>
              </w:rPr>
              <w:t>202</w:t>
            </w:r>
            <w:r w:rsidRPr="0087712A">
              <w:rPr>
                <w:b/>
                <w:color w:val="00B0D6"/>
                <w:sz w:val="21"/>
                <w:lang w:val="en-US"/>
              </w:rPr>
              <w:t>2</w:t>
            </w:r>
          </w:p>
        </w:tc>
        <w:tc>
          <w:tcPr>
            <w:tcW w:w="1077" w:type="dxa"/>
            <w:tcBorders>
              <w:bottom w:val="single" w:sz="4" w:space="0" w:color="000000"/>
            </w:tcBorders>
            <w:shd w:val="clear" w:color="auto" w:fill="FFFFFF" w:themeFill="background1"/>
          </w:tcPr>
          <w:p w14:paraId="6ED63341" w14:textId="6BCEB7AC" w:rsidR="00C53AD2" w:rsidRPr="0087712A" w:rsidRDefault="00C53AD2" w:rsidP="00C53AD2">
            <w:pPr>
              <w:pStyle w:val="TableParagraph"/>
              <w:spacing w:before="83" w:line="240" w:lineRule="auto"/>
              <w:ind w:right="118"/>
              <w:rPr>
                <w:b/>
                <w:color w:val="00173C"/>
                <w:sz w:val="21"/>
                <w:lang w:val="en-US"/>
              </w:rPr>
            </w:pPr>
            <w:r w:rsidRPr="0087712A">
              <w:rPr>
                <w:b/>
                <w:color w:val="00173C"/>
                <w:sz w:val="21"/>
                <w:lang w:val="en-US"/>
              </w:rPr>
              <w:t xml:space="preserve">FY </w:t>
            </w:r>
          </w:p>
          <w:p w14:paraId="6445E0C7" w14:textId="2A792D4A" w:rsidR="00C53AD2" w:rsidRPr="0087712A" w:rsidRDefault="00C53AD2" w:rsidP="00C53AD2">
            <w:pPr>
              <w:pStyle w:val="TableParagraph"/>
              <w:spacing w:before="83" w:line="240" w:lineRule="auto"/>
              <w:ind w:right="105"/>
              <w:rPr>
                <w:b/>
                <w:color w:val="00B0D6"/>
                <w:sz w:val="21"/>
                <w:lang w:val="en-US"/>
              </w:rPr>
            </w:pPr>
            <w:r w:rsidRPr="0087712A">
              <w:rPr>
                <w:b/>
                <w:color w:val="00173C"/>
                <w:sz w:val="21"/>
                <w:lang w:val="en-US"/>
              </w:rPr>
              <w:t>2021</w:t>
            </w:r>
          </w:p>
        </w:tc>
        <w:tc>
          <w:tcPr>
            <w:tcW w:w="1077" w:type="dxa"/>
            <w:tcBorders>
              <w:bottom w:val="single" w:sz="4" w:space="0" w:color="000000"/>
            </w:tcBorders>
            <w:shd w:val="clear" w:color="auto" w:fill="FFFFFF" w:themeFill="background1"/>
          </w:tcPr>
          <w:p w14:paraId="616DE02C" w14:textId="77777777" w:rsidR="00C53AD2" w:rsidRPr="0087712A" w:rsidRDefault="00C53AD2" w:rsidP="00C53AD2">
            <w:pPr>
              <w:pStyle w:val="TableParagraph"/>
              <w:spacing w:before="83" w:line="240" w:lineRule="auto"/>
              <w:ind w:right="101"/>
              <w:rPr>
                <w:b/>
                <w:color w:val="00173C"/>
                <w:sz w:val="21"/>
                <w:lang w:val="en-US"/>
              </w:rPr>
            </w:pPr>
            <w:r w:rsidRPr="0087712A">
              <w:rPr>
                <w:b/>
                <w:color w:val="00173C"/>
                <w:sz w:val="21"/>
              </w:rPr>
              <w:t>%</w:t>
            </w:r>
            <w:r w:rsidRPr="0087712A">
              <w:rPr>
                <w:b/>
                <w:color w:val="00173C"/>
                <w:sz w:val="21"/>
                <w:lang w:val="en-US"/>
              </w:rPr>
              <w:t xml:space="preserve"> </w:t>
            </w:r>
          </w:p>
          <w:p w14:paraId="67CD14D2" w14:textId="4F3DE5E7" w:rsidR="00C53AD2" w:rsidRPr="0087712A" w:rsidRDefault="00C53AD2" w:rsidP="00C53AD2">
            <w:pPr>
              <w:pStyle w:val="TableParagraph"/>
              <w:spacing w:before="83" w:line="240" w:lineRule="auto"/>
              <w:ind w:right="105"/>
              <w:rPr>
                <w:b/>
                <w:color w:val="00B0D6"/>
                <w:sz w:val="21"/>
                <w:lang w:val="en-US"/>
              </w:rPr>
            </w:pPr>
            <w:r w:rsidRPr="0087712A">
              <w:rPr>
                <w:b/>
                <w:color w:val="00173C"/>
                <w:sz w:val="21"/>
                <w:lang w:val="en-US"/>
              </w:rPr>
              <w:t>Y</w:t>
            </w:r>
            <w:r w:rsidRPr="0087712A">
              <w:rPr>
                <w:b/>
                <w:color w:val="00173C"/>
                <w:sz w:val="21"/>
              </w:rPr>
              <w:t>o</w:t>
            </w:r>
            <w:r w:rsidRPr="0087712A">
              <w:rPr>
                <w:b/>
                <w:color w:val="00173C"/>
                <w:sz w:val="21"/>
                <w:lang w:val="en-US"/>
              </w:rPr>
              <w:t>Y</w:t>
            </w:r>
          </w:p>
        </w:tc>
        <w:tc>
          <w:tcPr>
            <w:tcW w:w="57" w:type="dxa"/>
            <w:tcBorders>
              <w:bottom w:val="single" w:sz="4" w:space="0" w:color="000000"/>
            </w:tcBorders>
            <w:shd w:val="clear" w:color="auto" w:fill="D9D9D9" w:themeFill="background1" w:themeFillShade="D9"/>
          </w:tcPr>
          <w:p w14:paraId="41A4B706" w14:textId="77777777" w:rsidR="00C53AD2" w:rsidRPr="0087712A" w:rsidRDefault="00C53AD2" w:rsidP="00C53AD2">
            <w:pPr>
              <w:pStyle w:val="TableParagraph"/>
              <w:spacing w:before="83" w:line="240" w:lineRule="auto"/>
              <w:ind w:right="105"/>
              <w:rPr>
                <w:b/>
                <w:color w:val="00B0D6"/>
                <w:sz w:val="21"/>
                <w:lang w:val="en-US"/>
              </w:rPr>
            </w:pPr>
          </w:p>
        </w:tc>
        <w:tc>
          <w:tcPr>
            <w:tcW w:w="1077" w:type="dxa"/>
            <w:tcBorders>
              <w:bottom w:val="single" w:sz="4" w:space="0" w:color="000000"/>
            </w:tcBorders>
            <w:shd w:val="clear" w:color="auto" w:fill="F2F2F2" w:themeFill="background1" w:themeFillShade="F2"/>
          </w:tcPr>
          <w:p w14:paraId="5DD311F6" w14:textId="7BAA01CF" w:rsidR="00C53AD2" w:rsidRPr="0087712A" w:rsidRDefault="00C53AD2" w:rsidP="00C53AD2">
            <w:pPr>
              <w:pStyle w:val="TableParagraph"/>
              <w:spacing w:before="83" w:line="240" w:lineRule="auto"/>
              <w:ind w:right="105"/>
              <w:rPr>
                <w:b/>
                <w:color w:val="00B0D6"/>
                <w:sz w:val="21"/>
              </w:rPr>
            </w:pPr>
            <w:r w:rsidRPr="0087712A">
              <w:rPr>
                <w:b/>
                <w:color w:val="00B0D6"/>
                <w:sz w:val="21"/>
              </w:rPr>
              <w:t>Q</w:t>
            </w:r>
            <w:r w:rsidRPr="0087712A">
              <w:rPr>
                <w:b/>
                <w:color w:val="00B0D6"/>
                <w:sz w:val="21"/>
                <w:lang w:val="en-US"/>
              </w:rPr>
              <w:t>4</w:t>
            </w:r>
            <w:r w:rsidRPr="0087712A">
              <w:rPr>
                <w:b/>
                <w:color w:val="00B0D6"/>
                <w:sz w:val="21"/>
              </w:rPr>
              <w:t xml:space="preserve"> </w:t>
            </w:r>
          </w:p>
          <w:p w14:paraId="25435FC9" w14:textId="0564E15D" w:rsidR="00C53AD2" w:rsidRPr="0087712A" w:rsidRDefault="00C53AD2" w:rsidP="00C53AD2">
            <w:pPr>
              <w:pStyle w:val="TableParagraph"/>
              <w:spacing w:before="83" w:line="240" w:lineRule="auto"/>
              <w:ind w:right="105"/>
              <w:rPr>
                <w:b/>
                <w:sz w:val="21"/>
                <w:lang w:val="en-US"/>
              </w:rPr>
            </w:pPr>
            <w:r w:rsidRPr="0087712A">
              <w:rPr>
                <w:b/>
                <w:color w:val="00B0D6"/>
                <w:sz w:val="21"/>
              </w:rPr>
              <w:t>202</w:t>
            </w:r>
            <w:r w:rsidRPr="0087712A">
              <w:rPr>
                <w:b/>
                <w:color w:val="00B0D6"/>
                <w:sz w:val="21"/>
                <w:lang w:val="en-US"/>
              </w:rPr>
              <w:t>2</w:t>
            </w:r>
          </w:p>
        </w:tc>
        <w:tc>
          <w:tcPr>
            <w:tcW w:w="1077" w:type="dxa"/>
            <w:tcBorders>
              <w:bottom w:val="single" w:sz="4" w:space="0" w:color="000000"/>
            </w:tcBorders>
            <w:shd w:val="clear" w:color="auto" w:fill="FFFFFF" w:themeFill="background1"/>
          </w:tcPr>
          <w:p w14:paraId="7C9E23A3" w14:textId="77777777" w:rsidR="00C53AD2" w:rsidRPr="0087712A" w:rsidRDefault="00C53AD2" w:rsidP="00C53AD2">
            <w:pPr>
              <w:pStyle w:val="TableParagraph"/>
              <w:spacing w:before="83" w:line="240" w:lineRule="auto"/>
              <w:ind w:right="105"/>
              <w:rPr>
                <w:b/>
                <w:color w:val="00173C"/>
                <w:sz w:val="21"/>
              </w:rPr>
            </w:pPr>
            <w:r w:rsidRPr="0087712A">
              <w:rPr>
                <w:b/>
                <w:color w:val="00173C"/>
                <w:sz w:val="21"/>
              </w:rPr>
              <w:t>Q</w:t>
            </w:r>
            <w:r w:rsidRPr="0087712A">
              <w:rPr>
                <w:b/>
                <w:color w:val="00173C"/>
                <w:sz w:val="21"/>
                <w:lang w:val="en-US"/>
              </w:rPr>
              <w:t>4</w:t>
            </w:r>
            <w:r w:rsidRPr="0087712A">
              <w:rPr>
                <w:b/>
                <w:color w:val="00173C"/>
                <w:sz w:val="21"/>
              </w:rPr>
              <w:t xml:space="preserve"> </w:t>
            </w:r>
          </w:p>
          <w:p w14:paraId="3A8B79A1" w14:textId="59CA30EE" w:rsidR="00C53AD2" w:rsidRPr="0087712A" w:rsidRDefault="00C53AD2" w:rsidP="00C53AD2">
            <w:pPr>
              <w:pStyle w:val="TableParagraph"/>
              <w:spacing w:before="83" w:line="240" w:lineRule="auto"/>
              <w:ind w:right="118"/>
              <w:rPr>
                <w:b/>
                <w:sz w:val="21"/>
                <w:lang w:val="en-US"/>
              </w:rPr>
            </w:pPr>
            <w:r w:rsidRPr="0087712A">
              <w:rPr>
                <w:b/>
                <w:color w:val="00173C"/>
                <w:sz w:val="21"/>
              </w:rPr>
              <w:t>202</w:t>
            </w:r>
            <w:r w:rsidRPr="0087712A">
              <w:rPr>
                <w:b/>
                <w:color w:val="00173C"/>
                <w:sz w:val="21"/>
                <w:lang w:val="en-US"/>
              </w:rPr>
              <w:t>1</w:t>
            </w:r>
          </w:p>
        </w:tc>
        <w:tc>
          <w:tcPr>
            <w:tcW w:w="1077" w:type="dxa"/>
            <w:tcBorders>
              <w:bottom w:val="single" w:sz="4" w:space="0" w:color="000000"/>
            </w:tcBorders>
            <w:shd w:val="clear" w:color="auto" w:fill="FFFFFF" w:themeFill="background1"/>
          </w:tcPr>
          <w:p w14:paraId="4537F75E" w14:textId="77777777" w:rsidR="00C53AD2" w:rsidRPr="0087712A" w:rsidRDefault="00C53AD2" w:rsidP="00C53AD2">
            <w:pPr>
              <w:pStyle w:val="TableParagraph"/>
              <w:spacing w:before="83" w:line="240" w:lineRule="auto"/>
              <w:ind w:right="105"/>
              <w:rPr>
                <w:b/>
                <w:color w:val="00173C"/>
                <w:sz w:val="21"/>
                <w:lang w:val="en-US"/>
              </w:rPr>
            </w:pPr>
            <w:r w:rsidRPr="0087712A">
              <w:rPr>
                <w:b/>
                <w:color w:val="00173C"/>
                <w:sz w:val="21"/>
              </w:rPr>
              <w:t>%</w:t>
            </w:r>
            <w:r w:rsidRPr="0087712A">
              <w:rPr>
                <w:b/>
                <w:color w:val="00173C"/>
                <w:sz w:val="21"/>
                <w:lang w:val="en-US"/>
              </w:rPr>
              <w:t xml:space="preserve"> </w:t>
            </w:r>
          </w:p>
          <w:p w14:paraId="13C5E97C" w14:textId="0F19AF56" w:rsidR="00C53AD2" w:rsidRPr="0087712A" w:rsidRDefault="00C53AD2" w:rsidP="00C53AD2">
            <w:pPr>
              <w:pStyle w:val="TableParagraph"/>
              <w:spacing w:before="83" w:line="240" w:lineRule="auto"/>
              <w:ind w:right="101"/>
              <w:rPr>
                <w:b/>
                <w:sz w:val="21"/>
                <w:lang w:val="en-US"/>
              </w:rPr>
            </w:pPr>
            <w:r w:rsidRPr="0087712A">
              <w:rPr>
                <w:b/>
                <w:color w:val="00173C"/>
                <w:sz w:val="21"/>
                <w:lang w:val="en-US"/>
              </w:rPr>
              <w:t>Y</w:t>
            </w:r>
            <w:r w:rsidRPr="0087712A">
              <w:rPr>
                <w:b/>
                <w:color w:val="00173C"/>
                <w:sz w:val="21"/>
              </w:rPr>
              <w:t>o</w:t>
            </w:r>
            <w:r w:rsidRPr="0087712A">
              <w:rPr>
                <w:b/>
                <w:color w:val="00173C"/>
                <w:sz w:val="21"/>
                <w:lang w:val="en-US"/>
              </w:rPr>
              <w:t>Y</w:t>
            </w:r>
          </w:p>
        </w:tc>
        <w:tc>
          <w:tcPr>
            <w:tcW w:w="57" w:type="dxa"/>
            <w:tcBorders>
              <w:bottom w:val="single" w:sz="4" w:space="0" w:color="000000"/>
            </w:tcBorders>
            <w:shd w:val="clear" w:color="auto" w:fill="D9D9D9" w:themeFill="background1" w:themeFillShade="D9"/>
          </w:tcPr>
          <w:p w14:paraId="2A9B0547" w14:textId="77777777" w:rsidR="00C53AD2" w:rsidRPr="0087712A" w:rsidRDefault="00C53AD2" w:rsidP="00C53AD2">
            <w:pPr>
              <w:pStyle w:val="TableParagraph"/>
              <w:spacing w:before="83" w:line="240" w:lineRule="auto"/>
              <w:ind w:right="101"/>
              <w:rPr>
                <w:b/>
                <w:color w:val="00173C"/>
                <w:sz w:val="21"/>
              </w:rPr>
            </w:pPr>
          </w:p>
        </w:tc>
      </w:tr>
      <w:tr w:rsidR="00C53AD2" w:rsidRPr="0087712A" w14:paraId="1B3CEC20" w14:textId="77777777">
        <w:trPr>
          <w:trHeight w:val="299"/>
        </w:trPr>
        <w:tc>
          <w:tcPr>
            <w:tcW w:w="3119" w:type="dxa"/>
            <w:tcBorders>
              <w:top w:val="single" w:sz="4" w:space="0" w:color="000000"/>
              <w:bottom w:val="single" w:sz="4" w:space="0" w:color="000000"/>
            </w:tcBorders>
          </w:tcPr>
          <w:p w14:paraId="0D00186E" w14:textId="77777777" w:rsidR="00C53AD2" w:rsidRPr="0087712A" w:rsidRDefault="00C53AD2" w:rsidP="00C53AD2">
            <w:pPr>
              <w:pStyle w:val="TableParagraph"/>
              <w:spacing w:before="61" w:line="240" w:lineRule="auto"/>
              <w:ind w:left="122"/>
              <w:jc w:val="left"/>
              <w:rPr>
                <w:sz w:val="21"/>
                <w:lang w:val="en-US"/>
              </w:rPr>
            </w:pPr>
            <w:r w:rsidRPr="0087712A">
              <w:rPr>
                <w:color w:val="00173C"/>
                <w:sz w:val="21"/>
                <w:lang w:val="en-US"/>
              </w:rPr>
              <w:t>Sales</w:t>
            </w:r>
          </w:p>
        </w:tc>
        <w:tc>
          <w:tcPr>
            <w:tcW w:w="57" w:type="dxa"/>
            <w:tcBorders>
              <w:top w:val="single" w:sz="4" w:space="0" w:color="000000"/>
              <w:bottom w:val="single" w:sz="4" w:space="0" w:color="000000"/>
            </w:tcBorders>
            <w:shd w:val="clear" w:color="auto" w:fill="D9D9D9" w:themeFill="background1" w:themeFillShade="D9"/>
          </w:tcPr>
          <w:p w14:paraId="57B5DF7E" w14:textId="77777777" w:rsidR="00C53AD2" w:rsidRPr="0087712A" w:rsidRDefault="00C53AD2" w:rsidP="00C53AD2">
            <w:pPr>
              <w:pStyle w:val="TableParagraph"/>
              <w:spacing w:before="61" w:line="240" w:lineRule="auto"/>
              <w:ind w:right="105"/>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774BD311" w14:textId="28A77B49" w:rsidR="00C53AD2" w:rsidRPr="0087712A" w:rsidRDefault="00C53AD2" w:rsidP="00C53AD2">
            <w:pPr>
              <w:pStyle w:val="TableParagraph"/>
              <w:spacing w:before="61" w:line="240" w:lineRule="auto"/>
              <w:ind w:right="105"/>
              <w:rPr>
                <w:sz w:val="21"/>
                <w:lang w:val="en-US"/>
              </w:rPr>
            </w:pPr>
            <w:r w:rsidRPr="0087712A">
              <w:rPr>
                <w:sz w:val="21"/>
                <w:lang w:val="en-US"/>
              </w:rPr>
              <w:t>2,2</w:t>
            </w:r>
            <w:r w:rsidR="00BB7DB9">
              <w:rPr>
                <w:sz w:val="21"/>
                <w:lang w:val="en-US"/>
              </w:rPr>
              <w:t>8</w:t>
            </w:r>
            <w:r w:rsidRPr="0087712A">
              <w:rPr>
                <w:sz w:val="21"/>
                <w:lang w:val="en-US"/>
              </w:rPr>
              <w:t>2.</w:t>
            </w:r>
            <w:r w:rsidR="00BB7DB9">
              <w:rPr>
                <w:sz w:val="21"/>
                <w:lang w:val="en-US"/>
              </w:rPr>
              <w:t>2</w:t>
            </w:r>
          </w:p>
        </w:tc>
        <w:tc>
          <w:tcPr>
            <w:tcW w:w="1077" w:type="dxa"/>
            <w:tcBorders>
              <w:top w:val="single" w:sz="4" w:space="0" w:color="000000"/>
              <w:bottom w:val="single" w:sz="4" w:space="0" w:color="000000"/>
            </w:tcBorders>
            <w:shd w:val="clear" w:color="auto" w:fill="FFFFFF" w:themeFill="background1"/>
            <w:vAlign w:val="center"/>
          </w:tcPr>
          <w:p w14:paraId="32ED1B67" w14:textId="0D79F7DB" w:rsidR="00C53AD2" w:rsidRPr="0087712A" w:rsidRDefault="00C53AD2" w:rsidP="00C53AD2">
            <w:pPr>
              <w:pStyle w:val="TableParagraph"/>
              <w:spacing w:before="61" w:line="240" w:lineRule="auto"/>
              <w:ind w:right="105"/>
              <w:rPr>
                <w:sz w:val="21"/>
                <w:lang w:val="en-US"/>
              </w:rPr>
            </w:pPr>
            <w:r w:rsidRPr="0087712A">
              <w:rPr>
                <w:color w:val="00183D"/>
                <w:sz w:val="21"/>
                <w:szCs w:val="21"/>
                <w:lang w:val="en-GB" w:eastAsia="en-GB"/>
              </w:rPr>
              <w:t>1,714.6</w:t>
            </w:r>
          </w:p>
        </w:tc>
        <w:tc>
          <w:tcPr>
            <w:tcW w:w="1077" w:type="dxa"/>
            <w:tcBorders>
              <w:top w:val="single" w:sz="4" w:space="0" w:color="000000"/>
              <w:bottom w:val="single" w:sz="4" w:space="0" w:color="000000"/>
            </w:tcBorders>
            <w:shd w:val="clear" w:color="auto" w:fill="FFFFFF" w:themeFill="background1"/>
          </w:tcPr>
          <w:p w14:paraId="4D410B5E" w14:textId="25665DF5" w:rsidR="00C53AD2" w:rsidRPr="0087712A" w:rsidRDefault="00C53AD2" w:rsidP="00C53AD2">
            <w:pPr>
              <w:pStyle w:val="TableParagraph"/>
              <w:spacing w:before="61" w:line="240" w:lineRule="auto"/>
              <w:ind w:right="105"/>
              <w:rPr>
                <w:sz w:val="21"/>
                <w:lang w:val="en-US"/>
              </w:rPr>
            </w:pPr>
            <w:r w:rsidRPr="0087712A">
              <w:rPr>
                <w:color w:val="00173C"/>
                <w:sz w:val="21"/>
                <w:lang w:val="en-US"/>
              </w:rPr>
              <w:t>+3</w:t>
            </w:r>
            <w:r w:rsidR="00BB7DB9">
              <w:rPr>
                <w:color w:val="00173C"/>
                <w:sz w:val="21"/>
                <w:lang w:val="en-US"/>
              </w:rPr>
              <w:t>3</w:t>
            </w:r>
            <w:r w:rsidRPr="0087712A">
              <w:rPr>
                <w:color w:val="00173C"/>
                <w:sz w:val="21"/>
                <w:lang w:val="en-US"/>
              </w:rPr>
              <w:t>.</w:t>
            </w:r>
            <w:r w:rsidR="00BB7DB9">
              <w:rPr>
                <w:color w:val="00173C"/>
                <w:sz w:val="21"/>
                <w:lang w:val="en-US"/>
              </w:rPr>
              <w:t>1</w:t>
            </w:r>
            <w:r w:rsidRPr="0087712A">
              <w:rPr>
                <w:color w:val="00173C"/>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535E03E4" w14:textId="77777777" w:rsidR="00C53AD2" w:rsidRPr="0087712A" w:rsidRDefault="00C53AD2" w:rsidP="00C53AD2">
            <w:pPr>
              <w:pStyle w:val="TableParagraph"/>
              <w:spacing w:before="61" w:line="240" w:lineRule="auto"/>
              <w:ind w:right="105"/>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58C82D80" w14:textId="3093B0E3" w:rsidR="00C53AD2" w:rsidRPr="0087712A" w:rsidRDefault="008B24B6" w:rsidP="00C53AD2">
            <w:pPr>
              <w:pStyle w:val="TableParagraph"/>
              <w:spacing w:before="61" w:line="240" w:lineRule="auto"/>
              <w:ind w:right="105"/>
              <w:rPr>
                <w:sz w:val="21"/>
                <w:lang w:val="en-US"/>
              </w:rPr>
            </w:pPr>
            <w:r>
              <w:rPr>
                <w:sz w:val="21"/>
                <w:lang w:val="en-US"/>
              </w:rPr>
              <w:t>620.4</w:t>
            </w:r>
          </w:p>
        </w:tc>
        <w:tc>
          <w:tcPr>
            <w:tcW w:w="1077" w:type="dxa"/>
            <w:tcBorders>
              <w:top w:val="single" w:sz="4" w:space="0" w:color="000000"/>
              <w:bottom w:val="single" w:sz="4" w:space="0" w:color="000000"/>
            </w:tcBorders>
            <w:shd w:val="clear" w:color="auto" w:fill="FFFFFF" w:themeFill="background1"/>
            <w:vAlign w:val="center"/>
          </w:tcPr>
          <w:p w14:paraId="12866204" w14:textId="5EA57DA6" w:rsidR="00C53AD2" w:rsidRPr="0087712A" w:rsidRDefault="00C53AD2" w:rsidP="00C53AD2">
            <w:pPr>
              <w:pStyle w:val="TableParagraph"/>
              <w:spacing w:before="61" w:line="240" w:lineRule="auto"/>
              <w:ind w:right="118"/>
              <w:rPr>
                <w:sz w:val="21"/>
              </w:rPr>
            </w:pPr>
            <w:r w:rsidRPr="0087712A">
              <w:rPr>
                <w:color w:val="00183D"/>
                <w:sz w:val="21"/>
                <w:szCs w:val="21"/>
                <w:lang w:val="en-GB" w:eastAsia="en-GB"/>
              </w:rPr>
              <w:t>451.8</w:t>
            </w:r>
          </w:p>
        </w:tc>
        <w:tc>
          <w:tcPr>
            <w:tcW w:w="1077" w:type="dxa"/>
            <w:tcBorders>
              <w:top w:val="single" w:sz="4" w:space="0" w:color="000000"/>
              <w:bottom w:val="single" w:sz="4" w:space="0" w:color="000000"/>
            </w:tcBorders>
            <w:shd w:val="clear" w:color="auto" w:fill="FFFFFF" w:themeFill="background1"/>
          </w:tcPr>
          <w:p w14:paraId="486AF71D" w14:textId="2467C044" w:rsidR="00C53AD2" w:rsidRPr="0087712A" w:rsidRDefault="00C53AD2" w:rsidP="00C53AD2">
            <w:pPr>
              <w:pStyle w:val="TableParagraph"/>
              <w:spacing w:before="61" w:line="240" w:lineRule="auto"/>
              <w:ind w:right="101"/>
              <w:rPr>
                <w:sz w:val="21"/>
                <w:lang w:val="en-US"/>
              </w:rPr>
            </w:pPr>
            <w:r w:rsidRPr="0087712A">
              <w:rPr>
                <w:sz w:val="21"/>
                <w:lang w:val="en-US"/>
              </w:rPr>
              <w:t>+3</w:t>
            </w:r>
            <w:r w:rsidR="00BB7DB9">
              <w:rPr>
                <w:sz w:val="21"/>
                <w:lang w:val="en-US"/>
              </w:rPr>
              <w:t>7.3</w:t>
            </w:r>
            <w:r w:rsidRPr="0087712A">
              <w:rPr>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4A96EE33" w14:textId="77777777" w:rsidR="00C53AD2" w:rsidRPr="0087712A" w:rsidRDefault="00C53AD2" w:rsidP="00C53AD2">
            <w:pPr>
              <w:pStyle w:val="TableParagraph"/>
              <w:spacing w:before="61" w:line="240" w:lineRule="auto"/>
              <w:ind w:right="101"/>
              <w:rPr>
                <w:color w:val="00173C"/>
                <w:sz w:val="21"/>
                <w:lang w:val="en-US"/>
              </w:rPr>
            </w:pPr>
          </w:p>
        </w:tc>
      </w:tr>
      <w:tr w:rsidR="00C53AD2" w:rsidRPr="0087712A" w14:paraId="326E27E2" w14:textId="77777777">
        <w:trPr>
          <w:trHeight w:val="299"/>
        </w:trPr>
        <w:tc>
          <w:tcPr>
            <w:tcW w:w="3119" w:type="dxa"/>
            <w:tcBorders>
              <w:top w:val="single" w:sz="4" w:space="0" w:color="000000"/>
              <w:bottom w:val="single" w:sz="4" w:space="0" w:color="000000"/>
            </w:tcBorders>
          </w:tcPr>
          <w:p w14:paraId="0B3B5A0D" w14:textId="77777777" w:rsidR="00C53AD2" w:rsidRPr="0087712A" w:rsidRDefault="00C53AD2" w:rsidP="00C53AD2">
            <w:pPr>
              <w:pStyle w:val="TableParagraph"/>
              <w:spacing w:before="61" w:line="240" w:lineRule="auto"/>
              <w:ind w:left="122"/>
              <w:jc w:val="left"/>
              <w:rPr>
                <w:sz w:val="21"/>
              </w:rPr>
            </w:pPr>
            <w:r w:rsidRPr="0087712A">
              <w:rPr>
                <w:color w:val="00173C"/>
                <w:sz w:val="21"/>
              </w:rPr>
              <w:t>EBITDA</w:t>
            </w:r>
          </w:p>
        </w:tc>
        <w:tc>
          <w:tcPr>
            <w:tcW w:w="57" w:type="dxa"/>
            <w:tcBorders>
              <w:top w:val="single" w:sz="4" w:space="0" w:color="000000"/>
              <w:bottom w:val="single" w:sz="4" w:space="0" w:color="000000"/>
            </w:tcBorders>
            <w:shd w:val="clear" w:color="auto" w:fill="D9D9D9" w:themeFill="background1" w:themeFillShade="D9"/>
          </w:tcPr>
          <w:p w14:paraId="7EFA50B4" w14:textId="77777777" w:rsidR="00C53AD2" w:rsidRPr="0087712A" w:rsidRDefault="00C53AD2" w:rsidP="00C53AD2">
            <w:pPr>
              <w:pStyle w:val="TableParagraph"/>
              <w:spacing w:before="61" w:line="240" w:lineRule="auto"/>
              <w:ind w:right="105"/>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63F6FB21" w14:textId="2787F2E1" w:rsidR="00C53AD2" w:rsidRPr="0087712A" w:rsidRDefault="00C53AD2" w:rsidP="00C53AD2">
            <w:pPr>
              <w:pStyle w:val="TableParagraph"/>
              <w:spacing w:before="61" w:line="240" w:lineRule="auto"/>
              <w:ind w:right="105"/>
              <w:rPr>
                <w:sz w:val="21"/>
                <w:lang w:val="en-US"/>
              </w:rPr>
            </w:pPr>
            <w:r w:rsidRPr="0087712A">
              <w:rPr>
                <w:sz w:val="21"/>
                <w:lang w:val="en-US"/>
              </w:rPr>
              <w:t>33</w:t>
            </w:r>
            <w:r w:rsidR="00586EA3" w:rsidRPr="0087712A">
              <w:rPr>
                <w:sz w:val="21"/>
                <w:lang w:val="en-US"/>
              </w:rPr>
              <w:t>1</w:t>
            </w:r>
            <w:r w:rsidRPr="0087712A">
              <w:rPr>
                <w:sz w:val="21"/>
                <w:lang w:val="en-US"/>
              </w:rPr>
              <w:t>.</w:t>
            </w:r>
            <w:r w:rsidR="00586EA3" w:rsidRPr="0087712A">
              <w:rPr>
                <w:sz w:val="21"/>
                <w:lang w:val="en-US"/>
              </w:rPr>
              <w:t>2</w:t>
            </w:r>
          </w:p>
        </w:tc>
        <w:tc>
          <w:tcPr>
            <w:tcW w:w="1077" w:type="dxa"/>
            <w:tcBorders>
              <w:top w:val="single" w:sz="4" w:space="0" w:color="000000"/>
              <w:bottom w:val="single" w:sz="4" w:space="0" w:color="000000"/>
            </w:tcBorders>
            <w:shd w:val="clear" w:color="auto" w:fill="FFFFFF" w:themeFill="background1"/>
            <w:vAlign w:val="center"/>
          </w:tcPr>
          <w:p w14:paraId="150D1701" w14:textId="47991402" w:rsidR="00C53AD2" w:rsidRPr="0087712A" w:rsidRDefault="00C53AD2" w:rsidP="00C53AD2">
            <w:pPr>
              <w:pStyle w:val="TableParagraph"/>
              <w:spacing w:before="61" w:line="240" w:lineRule="auto"/>
              <w:ind w:right="105"/>
              <w:rPr>
                <w:sz w:val="21"/>
                <w:lang w:val="en-US"/>
              </w:rPr>
            </w:pPr>
            <w:r w:rsidRPr="0087712A">
              <w:rPr>
                <w:color w:val="00183D"/>
                <w:sz w:val="21"/>
                <w:szCs w:val="21"/>
                <w:lang w:val="en-GB" w:eastAsia="en-GB"/>
              </w:rPr>
              <w:t>275.2</w:t>
            </w:r>
          </w:p>
        </w:tc>
        <w:tc>
          <w:tcPr>
            <w:tcW w:w="1077" w:type="dxa"/>
            <w:tcBorders>
              <w:top w:val="single" w:sz="4" w:space="0" w:color="000000"/>
              <w:bottom w:val="single" w:sz="4" w:space="0" w:color="000000"/>
            </w:tcBorders>
            <w:shd w:val="clear" w:color="auto" w:fill="FFFFFF" w:themeFill="background1"/>
          </w:tcPr>
          <w:p w14:paraId="32383810" w14:textId="2E04A516" w:rsidR="00C53AD2" w:rsidRPr="0087712A" w:rsidRDefault="00C53AD2" w:rsidP="00C53AD2">
            <w:pPr>
              <w:pStyle w:val="TableParagraph"/>
              <w:spacing w:before="61" w:line="240" w:lineRule="auto"/>
              <w:ind w:right="105"/>
              <w:rPr>
                <w:sz w:val="21"/>
                <w:lang w:val="en-US"/>
              </w:rPr>
            </w:pPr>
            <w:r w:rsidRPr="0087712A">
              <w:rPr>
                <w:color w:val="00173C"/>
                <w:sz w:val="21"/>
                <w:lang w:val="en-US"/>
              </w:rPr>
              <w:t>+20.</w:t>
            </w:r>
            <w:r w:rsidR="00C17A97" w:rsidRPr="0087712A">
              <w:rPr>
                <w:color w:val="00173C"/>
                <w:sz w:val="21"/>
                <w:lang w:val="en-US"/>
              </w:rPr>
              <w:t>3</w:t>
            </w:r>
            <w:r w:rsidRPr="0087712A">
              <w:rPr>
                <w:color w:val="00173C"/>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31CB8838" w14:textId="77777777" w:rsidR="00C53AD2" w:rsidRPr="0087712A" w:rsidRDefault="00C53AD2" w:rsidP="00C53AD2">
            <w:pPr>
              <w:pStyle w:val="TableParagraph"/>
              <w:spacing w:before="61" w:line="240" w:lineRule="auto"/>
              <w:ind w:right="105"/>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68358DFB" w14:textId="152E0D6F" w:rsidR="00C53AD2" w:rsidRPr="0087712A" w:rsidRDefault="00C53AD2" w:rsidP="00C53AD2">
            <w:pPr>
              <w:pStyle w:val="TableParagraph"/>
              <w:spacing w:before="61" w:line="240" w:lineRule="auto"/>
              <w:ind w:right="105"/>
              <w:rPr>
                <w:sz w:val="21"/>
                <w:lang w:val="en-US"/>
              </w:rPr>
            </w:pPr>
            <w:r w:rsidRPr="0087712A">
              <w:rPr>
                <w:sz w:val="21"/>
                <w:lang w:val="en-US"/>
              </w:rPr>
              <w:t>96.</w:t>
            </w:r>
            <w:r w:rsidR="00F10F75" w:rsidRPr="0087712A">
              <w:rPr>
                <w:sz w:val="21"/>
                <w:lang w:val="en-US"/>
              </w:rPr>
              <w:t>7</w:t>
            </w:r>
          </w:p>
        </w:tc>
        <w:tc>
          <w:tcPr>
            <w:tcW w:w="1077" w:type="dxa"/>
            <w:tcBorders>
              <w:top w:val="single" w:sz="4" w:space="0" w:color="000000"/>
              <w:bottom w:val="single" w:sz="4" w:space="0" w:color="000000"/>
            </w:tcBorders>
            <w:shd w:val="clear" w:color="auto" w:fill="FFFFFF" w:themeFill="background1"/>
            <w:vAlign w:val="center"/>
          </w:tcPr>
          <w:p w14:paraId="6994B484" w14:textId="2E52BDF7" w:rsidR="00C53AD2" w:rsidRPr="0087712A" w:rsidRDefault="00C53AD2" w:rsidP="00C53AD2">
            <w:pPr>
              <w:pStyle w:val="TableParagraph"/>
              <w:spacing w:before="61" w:line="240" w:lineRule="auto"/>
              <w:ind w:right="118"/>
              <w:rPr>
                <w:sz w:val="21"/>
              </w:rPr>
            </w:pPr>
            <w:r w:rsidRPr="0087712A">
              <w:rPr>
                <w:color w:val="00183D"/>
                <w:sz w:val="21"/>
                <w:szCs w:val="21"/>
                <w:lang w:val="en-GB" w:eastAsia="en-GB"/>
              </w:rPr>
              <w:t>55.6</w:t>
            </w:r>
          </w:p>
        </w:tc>
        <w:tc>
          <w:tcPr>
            <w:tcW w:w="1077" w:type="dxa"/>
            <w:tcBorders>
              <w:top w:val="single" w:sz="4" w:space="0" w:color="000000"/>
              <w:bottom w:val="single" w:sz="4" w:space="0" w:color="000000"/>
            </w:tcBorders>
            <w:shd w:val="clear" w:color="auto" w:fill="FFFFFF" w:themeFill="background1"/>
          </w:tcPr>
          <w:p w14:paraId="08DE2018" w14:textId="5B6384B2" w:rsidR="00C53AD2" w:rsidRPr="0087712A" w:rsidRDefault="00C53AD2" w:rsidP="00C53AD2">
            <w:pPr>
              <w:pStyle w:val="TableParagraph"/>
              <w:spacing w:before="61" w:line="240" w:lineRule="auto"/>
              <w:ind w:right="102"/>
              <w:rPr>
                <w:sz w:val="21"/>
                <w:lang w:val="en-US"/>
              </w:rPr>
            </w:pPr>
            <w:r w:rsidRPr="0087712A">
              <w:rPr>
                <w:sz w:val="21"/>
                <w:lang w:val="en-US"/>
              </w:rPr>
              <w:t>+7</w:t>
            </w:r>
            <w:r w:rsidR="00641295" w:rsidRPr="0087712A">
              <w:rPr>
                <w:sz w:val="21"/>
                <w:lang w:val="en-US"/>
              </w:rPr>
              <w:t>3.9</w:t>
            </w:r>
            <w:r w:rsidRPr="0087712A">
              <w:rPr>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4C820106" w14:textId="77777777" w:rsidR="00C53AD2" w:rsidRPr="0087712A" w:rsidRDefault="00C53AD2" w:rsidP="00C53AD2">
            <w:pPr>
              <w:pStyle w:val="TableParagraph"/>
              <w:spacing w:before="61" w:line="240" w:lineRule="auto"/>
              <w:ind w:right="102"/>
              <w:rPr>
                <w:color w:val="00173C"/>
                <w:sz w:val="21"/>
                <w:lang w:val="en-US"/>
              </w:rPr>
            </w:pPr>
          </w:p>
        </w:tc>
      </w:tr>
      <w:tr w:rsidR="00C53AD2" w:rsidRPr="0087712A" w14:paraId="2A65E75F" w14:textId="77777777">
        <w:trPr>
          <w:trHeight w:val="299"/>
        </w:trPr>
        <w:tc>
          <w:tcPr>
            <w:tcW w:w="3119" w:type="dxa"/>
            <w:tcBorders>
              <w:top w:val="single" w:sz="4" w:space="0" w:color="000000"/>
              <w:bottom w:val="single" w:sz="4" w:space="0" w:color="000000"/>
            </w:tcBorders>
          </w:tcPr>
          <w:p w14:paraId="46FCE7BC" w14:textId="77777777" w:rsidR="00C53AD2" w:rsidRPr="0087712A" w:rsidRDefault="00C53AD2" w:rsidP="00C53AD2">
            <w:pPr>
              <w:pStyle w:val="TableParagraph"/>
              <w:spacing w:before="61" w:line="240" w:lineRule="auto"/>
              <w:ind w:left="122"/>
              <w:jc w:val="left"/>
              <w:rPr>
                <w:sz w:val="21"/>
                <w:lang w:val="en-GB"/>
              </w:rPr>
            </w:pPr>
            <w:r w:rsidRPr="0087712A">
              <w:rPr>
                <w:color w:val="00173C"/>
                <w:sz w:val="21"/>
                <w:lang w:val="en-GB"/>
              </w:rPr>
              <w:t>Net Profit after Taxes &amp; Minorities</w:t>
            </w:r>
          </w:p>
        </w:tc>
        <w:tc>
          <w:tcPr>
            <w:tcW w:w="57" w:type="dxa"/>
            <w:tcBorders>
              <w:top w:val="single" w:sz="4" w:space="0" w:color="000000"/>
              <w:bottom w:val="single" w:sz="4" w:space="0" w:color="000000"/>
            </w:tcBorders>
            <w:shd w:val="clear" w:color="auto" w:fill="D9D9D9" w:themeFill="background1" w:themeFillShade="D9"/>
          </w:tcPr>
          <w:p w14:paraId="6F5300F1" w14:textId="77777777" w:rsidR="00C53AD2" w:rsidRPr="0087712A" w:rsidRDefault="00C53AD2" w:rsidP="00C53AD2">
            <w:pPr>
              <w:pStyle w:val="TableParagraph"/>
              <w:spacing w:before="61" w:line="240" w:lineRule="auto"/>
              <w:ind w:right="107"/>
              <w:rPr>
                <w:sz w:val="21"/>
                <w:lang w:val="en-GB"/>
              </w:rPr>
            </w:pPr>
          </w:p>
        </w:tc>
        <w:tc>
          <w:tcPr>
            <w:tcW w:w="1077" w:type="dxa"/>
            <w:tcBorders>
              <w:top w:val="single" w:sz="4" w:space="0" w:color="000000"/>
              <w:bottom w:val="single" w:sz="4" w:space="0" w:color="000000"/>
            </w:tcBorders>
            <w:shd w:val="clear" w:color="auto" w:fill="F2F2F2" w:themeFill="background1" w:themeFillShade="F2"/>
          </w:tcPr>
          <w:p w14:paraId="5E582219" w14:textId="426D2B95" w:rsidR="00C53AD2" w:rsidRPr="0087712A" w:rsidRDefault="00C53AD2" w:rsidP="00C53AD2">
            <w:pPr>
              <w:pStyle w:val="TableParagraph"/>
              <w:spacing w:before="61" w:line="240" w:lineRule="auto"/>
              <w:ind w:right="107"/>
              <w:rPr>
                <w:sz w:val="21"/>
                <w:lang w:val="en-US"/>
              </w:rPr>
            </w:pPr>
            <w:r w:rsidRPr="0087712A">
              <w:rPr>
                <w:sz w:val="21"/>
                <w:lang w:val="en-US"/>
              </w:rPr>
              <w:t>1</w:t>
            </w:r>
            <w:r w:rsidR="00C20B82" w:rsidRPr="0087712A">
              <w:rPr>
                <w:sz w:val="21"/>
                <w:lang w:val="en-US"/>
              </w:rPr>
              <w:t>09</w:t>
            </w:r>
            <w:r w:rsidRPr="0087712A">
              <w:rPr>
                <w:sz w:val="21"/>
                <w:lang w:val="en-US"/>
              </w:rPr>
              <w:t>.</w:t>
            </w:r>
            <w:r w:rsidR="00C20B82" w:rsidRPr="0087712A">
              <w:rPr>
                <w:sz w:val="21"/>
                <w:lang w:val="en-US"/>
              </w:rPr>
              <w:t>7</w:t>
            </w:r>
          </w:p>
        </w:tc>
        <w:tc>
          <w:tcPr>
            <w:tcW w:w="1077" w:type="dxa"/>
            <w:tcBorders>
              <w:top w:val="single" w:sz="4" w:space="0" w:color="000000"/>
              <w:bottom w:val="single" w:sz="4" w:space="0" w:color="000000"/>
            </w:tcBorders>
            <w:shd w:val="clear" w:color="auto" w:fill="FFFFFF" w:themeFill="background1"/>
            <w:vAlign w:val="center"/>
          </w:tcPr>
          <w:p w14:paraId="7620FF5B" w14:textId="51F6A898" w:rsidR="00C53AD2" w:rsidRPr="0087712A" w:rsidRDefault="00C53AD2" w:rsidP="00C53AD2">
            <w:pPr>
              <w:pStyle w:val="TableParagraph"/>
              <w:spacing w:before="61" w:line="240" w:lineRule="auto"/>
              <w:ind w:right="107"/>
              <w:rPr>
                <w:sz w:val="21"/>
                <w:lang w:val="en-US"/>
              </w:rPr>
            </w:pPr>
            <w:r w:rsidRPr="0087712A">
              <w:rPr>
                <w:color w:val="00183D"/>
                <w:sz w:val="21"/>
                <w:szCs w:val="21"/>
                <w:lang w:val="en-GB" w:eastAsia="en-GB"/>
              </w:rPr>
              <w:t>91.9</w:t>
            </w:r>
          </w:p>
        </w:tc>
        <w:tc>
          <w:tcPr>
            <w:tcW w:w="1077" w:type="dxa"/>
            <w:tcBorders>
              <w:top w:val="single" w:sz="4" w:space="0" w:color="000000"/>
              <w:bottom w:val="single" w:sz="4" w:space="0" w:color="000000"/>
            </w:tcBorders>
            <w:shd w:val="clear" w:color="auto" w:fill="FFFFFF" w:themeFill="background1"/>
          </w:tcPr>
          <w:p w14:paraId="6AF143F0" w14:textId="4895EC7B" w:rsidR="00C53AD2" w:rsidRPr="0087712A" w:rsidRDefault="00C53AD2" w:rsidP="00C53AD2">
            <w:pPr>
              <w:pStyle w:val="TableParagraph"/>
              <w:spacing w:before="61" w:line="240" w:lineRule="auto"/>
              <w:ind w:right="107"/>
              <w:rPr>
                <w:sz w:val="21"/>
                <w:lang w:val="en-US"/>
              </w:rPr>
            </w:pPr>
            <w:r w:rsidRPr="0087712A">
              <w:rPr>
                <w:color w:val="00173C"/>
                <w:sz w:val="21"/>
                <w:lang w:val="en-US"/>
              </w:rPr>
              <w:t>+</w:t>
            </w:r>
            <w:r w:rsidR="00B71844" w:rsidRPr="0087712A">
              <w:rPr>
                <w:color w:val="00173C"/>
                <w:sz w:val="21"/>
                <w:lang w:val="en-US"/>
              </w:rPr>
              <w:t>19</w:t>
            </w:r>
            <w:r w:rsidRPr="0087712A">
              <w:rPr>
                <w:color w:val="00173C"/>
                <w:sz w:val="21"/>
                <w:lang w:val="en-US"/>
              </w:rPr>
              <w:t>.</w:t>
            </w:r>
            <w:r w:rsidR="00B71844" w:rsidRPr="0087712A">
              <w:rPr>
                <w:color w:val="00173C"/>
                <w:sz w:val="21"/>
                <w:lang w:val="en-US"/>
              </w:rPr>
              <w:t>3</w:t>
            </w:r>
            <w:r w:rsidRPr="0087712A">
              <w:rPr>
                <w:color w:val="00173C"/>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44C82E05" w14:textId="77777777" w:rsidR="00C53AD2" w:rsidRPr="0087712A" w:rsidRDefault="00C53AD2" w:rsidP="00C53AD2">
            <w:pPr>
              <w:pStyle w:val="TableParagraph"/>
              <w:spacing w:before="61" w:line="240" w:lineRule="auto"/>
              <w:ind w:right="107"/>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4E9A5BF1" w14:textId="1F2C73FD" w:rsidR="00C53AD2" w:rsidRPr="0087712A" w:rsidRDefault="002B547B" w:rsidP="00C53AD2">
            <w:pPr>
              <w:pStyle w:val="TableParagraph"/>
              <w:spacing w:before="61" w:line="240" w:lineRule="auto"/>
              <w:ind w:right="107"/>
              <w:rPr>
                <w:sz w:val="21"/>
                <w:lang w:val="en-US"/>
              </w:rPr>
            </w:pPr>
            <w:r w:rsidRPr="0087712A">
              <w:rPr>
                <w:sz w:val="21"/>
                <w:lang w:val="en-US"/>
              </w:rPr>
              <w:t>20</w:t>
            </w:r>
            <w:r w:rsidR="00C53AD2" w:rsidRPr="0087712A">
              <w:rPr>
                <w:sz w:val="21"/>
                <w:lang w:val="en-US"/>
              </w:rPr>
              <w:t>.</w:t>
            </w:r>
            <w:r w:rsidRPr="0087712A">
              <w:rPr>
                <w:sz w:val="21"/>
                <w:lang w:val="en-US"/>
              </w:rPr>
              <w:t>6</w:t>
            </w:r>
          </w:p>
        </w:tc>
        <w:tc>
          <w:tcPr>
            <w:tcW w:w="1077" w:type="dxa"/>
            <w:tcBorders>
              <w:top w:val="single" w:sz="4" w:space="0" w:color="000000"/>
              <w:bottom w:val="single" w:sz="4" w:space="0" w:color="000000"/>
            </w:tcBorders>
            <w:shd w:val="clear" w:color="auto" w:fill="FFFFFF" w:themeFill="background1"/>
            <w:vAlign w:val="center"/>
          </w:tcPr>
          <w:p w14:paraId="12C61C7F" w14:textId="767FAEB2" w:rsidR="00C53AD2" w:rsidRPr="0087712A" w:rsidRDefault="00C53AD2" w:rsidP="00C53AD2">
            <w:pPr>
              <w:pStyle w:val="TableParagraph"/>
              <w:spacing w:before="61" w:line="240" w:lineRule="auto"/>
              <w:ind w:right="117"/>
              <w:rPr>
                <w:sz w:val="21"/>
              </w:rPr>
            </w:pPr>
            <w:r w:rsidRPr="0087712A">
              <w:rPr>
                <w:sz w:val="21"/>
                <w:lang w:val="en-US"/>
              </w:rPr>
              <w:t>10.0</w:t>
            </w:r>
          </w:p>
        </w:tc>
        <w:tc>
          <w:tcPr>
            <w:tcW w:w="1077" w:type="dxa"/>
            <w:tcBorders>
              <w:top w:val="single" w:sz="4" w:space="0" w:color="000000"/>
              <w:bottom w:val="single" w:sz="4" w:space="0" w:color="000000"/>
            </w:tcBorders>
            <w:shd w:val="clear" w:color="auto" w:fill="FFFFFF" w:themeFill="background1"/>
          </w:tcPr>
          <w:p w14:paraId="553FF5D9" w14:textId="0C63B3A0" w:rsidR="00C53AD2" w:rsidRPr="0087712A" w:rsidRDefault="00C53AD2" w:rsidP="00C53AD2">
            <w:pPr>
              <w:pStyle w:val="TableParagraph"/>
              <w:spacing w:before="61" w:line="240" w:lineRule="auto"/>
              <w:ind w:right="102"/>
              <w:rPr>
                <w:sz w:val="21"/>
                <w:lang w:val="en-US"/>
              </w:rPr>
            </w:pPr>
            <w:r w:rsidRPr="0087712A">
              <w:rPr>
                <w:sz w:val="21"/>
                <w:lang w:val="en-US"/>
              </w:rPr>
              <w:t>+</w:t>
            </w:r>
            <w:r w:rsidR="002B547B" w:rsidRPr="0087712A">
              <w:rPr>
                <w:sz w:val="21"/>
                <w:lang w:val="en-US"/>
              </w:rPr>
              <w:t>106</w:t>
            </w:r>
            <w:r w:rsidR="00641295" w:rsidRPr="0087712A">
              <w:rPr>
                <w:sz w:val="21"/>
                <w:lang w:val="en-US"/>
              </w:rPr>
              <w:t>.1</w:t>
            </w:r>
            <w:r w:rsidRPr="0087712A">
              <w:rPr>
                <w:sz w:val="21"/>
                <w:lang w:val="en-US"/>
              </w:rPr>
              <w:t>%</w:t>
            </w:r>
          </w:p>
        </w:tc>
        <w:tc>
          <w:tcPr>
            <w:tcW w:w="57" w:type="dxa"/>
            <w:tcBorders>
              <w:top w:val="single" w:sz="4" w:space="0" w:color="000000"/>
              <w:bottom w:val="single" w:sz="4" w:space="0" w:color="000000"/>
            </w:tcBorders>
            <w:shd w:val="clear" w:color="auto" w:fill="D9D9D9" w:themeFill="background1" w:themeFillShade="D9"/>
          </w:tcPr>
          <w:p w14:paraId="11C76B23" w14:textId="77777777" w:rsidR="00C53AD2" w:rsidRPr="0087712A" w:rsidRDefault="00C53AD2" w:rsidP="00C53AD2">
            <w:pPr>
              <w:pStyle w:val="TableParagraph"/>
              <w:spacing w:before="61" w:line="240" w:lineRule="auto"/>
              <w:ind w:right="102"/>
              <w:rPr>
                <w:color w:val="00173C"/>
                <w:sz w:val="21"/>
                <w:lang w:val="en-US"/>
              </w:rPr>
            </w:pPr>
          </w:p>
        </w:tc>
      </w:tr>
      <w:tr w:rsidR="00C53AD2" w:rsidRPr="0087712A" w14:paraId="2CC76B11" w14:textId="77777777">
        <w:trPr>
          <w:trHeight w:val="299"/>
        </w:trPr>
        <w:tc>
          <w:tcPr>
            <w:tcW w:w="3119" w:type="dxa"/>
            <w:tcBorders>
              <w:top w:val="single" w:sz="4" w:space="0" w:color="000000"/>
              <w:bottom w:val="single" w:sz="4" w:space="0" w:color="000000"/>
            </w:tcBorders>
          </w:tcPr>
          <w:p w14:paraId="644B007A" w14:textId="67EEB101" w:rsidR="00C53AD2" w:rsidRPr="0087712A" w:rsidRDefault="00C53AD2" w:rsidP="00C53AD2">
            <w:pPr>
              <w:pStyle w:val="TableParagraph"/>
              <w:spacing w:before="61" w:line="240" w:lineRule="auto"/>
              <w:ind w:left="122"/>
              <w:jc w:val="left"/>
              <w:rPr>
                <w:color w:val="00173C"/>
                <w:sz w:val="21"/>
                <w:lang w:val="en-US"/>
              </w:rPr>
            </w:pPr>
            <w:r w:rsidRPr="0087712A">
              <w:rPr>
                <w:color w:val="00173C"/>
                <w:sz w:val="21"/>
                <w:lang w:val="en-GB"/>
              </w:rPr>
              <w:t>Earnings per Share (€/share)</w:t>
            </w:r>
          </w:p>
        </w:tc>
        <w:tc>
          <w:tcPr>
            <w:tcW w:w="57" w:type="dxa"/>
            <w:tcBorders>
              <w:top w:val="single" w:sz="4" w:space="0" w:color="000000"/>
              <w:bottom w:val="single" w:sz="4" w:space="0" w:color="000000"/>
            </w:tcBorders>
            <w:shd w:val="clear" w:color="auto" w:fill="D9D9D9" w:themeFill="background1" w:themeFillShade="D9"/>
          </w:tcPr>
          <w:p w14:paraId="2C5E42AE" w14:textId="77777777" w:rsidR="00C53AD2" w:rsidRPr="0087712A" w:rsidRDefault="00C53AD2" w:rsidP="00C53AD2">
            <w:pPr>
              <w:pStyle w:val="TableParagraph"/>
              <w:spacing w:before="61" w:line="240" w:lineRule="auto"/>
              <w:ind w:right="107"/>
              <w:rPr>
                <w:sz w:val="21"/>
                <w:lang w:val="en-GB"/>
              </w:rPr>
            </w:pPr>
          </w:p>
        </w:tc>
        <w:tc>
          <w:tcPr>
            <w:tcW w:w="1077" w:type="dxa"/>
            <w:tcBorders>
              <w:top w:val="single" w:sz="4" w:space="0" w:color="000000"/>
              <w:bottom w:val="single" w:sz="4" w:space="0" w:color="000000"/>
            </w:tcBorders>
            <w:shd w:val="clear" w:color="auto" w:fill="F2F2F2" w:themeFill="background1" w:themeFillShade="F2"/>
          </w:tcPr>
          <w:p w14:paraId="3730D871" w14:textId="73DEB53C" w:rsidR="00C53AD2" w:rsidRPr="0087712A" w:rsidRDefault="00C53AD2" w:rsidP="00C53AD2">
            <w:pPr>
              <w:pStyle w:val="TableParagraph"/>
              <w:spacing w:before="61" w:line="240" w:lineRule="auto"/>
              <w:ind w:right="107"/>
              <w:rPr>
                <w:sz w:val="21"/>
                <w:lang w:val="en-US"/>
              </w:rPr>
            </w:pPr>
            <w:r w:rsidRPr="0087712A">
              <w:rPr>
                <w:sz w:val="21"/>
                <w:lang w:val="en-US"/>
              </w:rPr>
              <w:t>1.53</w:t>
            </w:r>
          </w:p>
        </w:tc>
        <w:tc>
          <w:tcPr>
            <w:tcW w:w="1077" w:type="dxa"/>
            <w:tcBorders>
              <w:top w:val="single" w:sz="4" w:space="0" w:color="000000"/>
              <w:bottom w:val="single" w:sz="4" w:space="0" w:color="000000"/>
            </w:tcBorders>
            <w:shd w:val="clear" w:color="auto" w:fill="FFFFFF" w:themeFill="background1"/>
            <w:vAlign w:val="center"/>
          </w:tcPr>
          <w:p w14:paraId="67EC289C" w14:textId="41DBBFD3" w:rsidR="00C53AD2" w:rsidRPr="0087712A" w:rsidRDefault="00C53AD2" w:rsidP="00C53AD2">
            <w:pPr>
              <w:pStyle w:val="TableParagraph"/>
              <w:spacing w:before="61" w:line="240" w:lineRule="auto"/>
              <w:ind w:right="107"/>
              <w:rPr>
                <w:sz w:val="21"/>
                <w:lang w:val="en-US"/>
              </w:rPr>
            </w:pPr>
            <w:r w:rsidRPr="0087712A">
              <w:rPr>
                <w:color w:val="00183D"/>
                <w:sz w:val="21"/>
                <w:szCs w:val="21"/>
                <w:lang w:val="en-GB" w:eastAsia="en-GB"/>
              </w:rPr>
              <w:t>1.23</w:t>
            </w:r>
          </w:p>
        </w:tc>
        <w:tc>
          <w:tcPr>
            <w:tcW w:w="1077" w:type="dxa"/>
            <w:tcBorders>
              <w:top w:val="single" w:sz="4" w:space="0" w:color="000000"/>
              <w:bottom w:val="single" w:sz="4" w:space="0" w:color="000000"/>
            </w:tcBorders>
            <w:shd w:val="clear" w:color="auto" w:fill="FFFFFF" w:themeFill="background1"/>
          </w:tcPr>
          <w:p w14:paraId="69DEE666" w14:textId="265AD367" w:rsidR="00C53AD2" w:rsidRPr="0087712A" w:rsidRDefault="00C53AD2" w:rsidP="00C53AD2">
            <w:pPr>
              <w:pStyle w:val="TableParagraph"/>
              <w:spacing w:before="61" w:line="240" w:lineRule="auto"/>
              <w:ind w:right="107"/>
              <w:rPr>
                <w:sz w:val="21"/>
                <w:lang w:val="en-US"/>
              </w:rPr>
            </w:pPr>
            <w:r w:rsidRPr="0087712A">
              <w:rPr>
                <w:color w:val="00173C"/>
                <w:sz w:val="21"/>
                <w:lang w:val="en-US"/>
              </w:rPr>
              <w:t>+24.4%</w:t>
            </w:r>
          </w:p>
        </w:tc>
        <w:tc>
          <w:tcPr>
            <w:tcW w:w="57" w:type="dxa"/>
            <w:tcBorders>
              <w:top w:val="single" w:sz="4" w:space="0" w:color="000000"/>
              <w:bottom w:val="single" w:sz="4" w:space="0" w:color="000000"/>
            </w:tcBorders>
            <w:shd w:val="clear" w:color="auto" w:fill="D9D9D9" w:themeFill="background1" w:themeFillShade="D9"/>
          </w:tcPr>
          <w:p w14:paraId="2739CF51" w14:textId="77777777" w:rsidR="00C53AD2" w:rsidRPr="0087712A" w:rsidRDefault="00C53AD2" w:rsidP="00C53AD2">
            <w:pPr>
              <w:pStyle w:val="TableParagraph"/>
              <w:spacing w:before="61" w:line="240" w:lineRule="auto"/>
              <w:ind w:right="107"/>
              <w:rPr>
                <w:sz w:val="21"/>
                <w:lang w:val="en-US"/>
              </w:rPr>
            </w:pPr>
          </w:p>
        </w:tc>
        <w:tc>
          <w:tcPr>
            <w:tcW w:w="1077" w:type="dxa"/>
            <w:tcBorders>
              <w:top w:val="single" w:sz="4" w:space="0" w:color="000000"/>
              <w:bottom w:val="single" w:sz="4" w:space="0" w:color="000000"/>
            </w:tcBorders>
            <w:shd w:val="clear" w:color="auto" w:fill="F2F2F2" w:themeFill="background1" w:themeFillShade="F2"/>
          </w:tcPr>
          <w:p w14:paraId="6FD31E5B" w14:textId="4AB95E23" w:rsidR="00C53AD2" w:rsidRPr="0087712A" w:rsidRDefault="00C53AD2" w:rsidP="00C53AD2">
            <w:pPr>
              <w:pStyle w:val="TableParagraph"/>
              <w:spacing w:before="61" w:line="240" w:lineRule="auto"/>
              <w:ind w:right="107"/>
              <w:rPr>
                <w:sz w:val="21"/>
                <w:lang w:val="en-US"/>
              </w:rPr>
            </w:pPr>
          </w:p>
        </w:tc>
        <w:tc>
          <w:tcPr>
            <w:tcW w:w="1077" w:type="dxa"/>
            <w:tcBorders>
              <w:top w:val="single" w:sz="4" w:space="0" w:color="000000"/>
              <w:bottom w:val="single" w:sz="4" w:space="0" w:color="000000"/>
            </w:tcBorders>
            <w:shd w:val="clear" w:color="auto" w:fill="FFFFFF" w:themeFill="background1"/>
            <w:vAlign w:val="center"/>
          </w:tcPr>
          <w:p w14:paraId="11407149" w14:textId="445D47D8" w:rsidR="00C53AD2" w:rsidRPr="0087712A" w:rsidRDefault="00C53AD2" w:rsidP="00C53AD2">
            <w:pPr>
              <w:pStyle w:val="TableParagraph"/>
              <w:spacing w:before="61" w:line="240" w:lineRule="auto"/>
              <w:ind w:right="117"/>
              <w:rPr>
                <w:color w:val="00183D"/>
                <w:sz w:val="21"/>
                <w:szCs w:val="21"/>
                <w:lang w:val="en-GB" w:eastAsia="en-GB"/>
              </w:rPr>
            </w:pPr>
          </w:p>
        </w:tc>
        <w:tc>
          <w:tcPr>
            <w:tcW w:w="1077" w:type="dxa"/>
            <w:tcBorders>
              <w:top w:val="single" w:sz="4" w:space="0" w:color="000000"/>
              <w:bottom w:val="single" w:sz="4" w:space="0" w:color="000000"/>
            </w:tcBorders>
            <w:shd w:val="clear" w:color="auto" w:fill="FFFFFF" w:themeFill="background1"/>
          </w:tcPr>
          <w:p w14:paraId="7046CA78" w14:textId="499A0F39" w:rsidR="00C53AD2" w:rsidRPr="0087712A" w:rsidRDefault="00C53AD2" w:rsidP="00C53AD2">
            <w:pPr>
              <w:pStyle w:val="TableParagraph"/>
              <w:spacing w:before="61" w:line="240" w:lineRule="auto"/>
              <w:ind w:right="102"/>
              <w:rPr>
                <w:color w:val="00173C"/>
                <w:sz w:val="21"/>
                <w:lang w:val="en-US"/>
              </w:rPr>
            </w:pPr>
          </w:p>
        </w:tc>
        <w:tc>
          <w:tcPr>
            <w:tcW w:w="57" w:type="dxa"/>
            <w:tcBorders>
              <w:top w:val="single" w:sz="4" w:space="0" w:color="000000"/>
              <w:bottom w:val="single" w:sz="4" w:space="0" w:color="000000"/>
            </w:tcBorders>
            <w:shd w:val="clear" w:color="auto" w:fill="D9D9D9" w:themeFill="background1" w:themeFillShade="D9"/>
          </w:tcPr>
          <w:p w14:paraId="66D24C56" w14:textId="77777777" w:rsidR="00C53AD2" w:rsidRPr="0087712A" w:rsidRDefault="00C53AD2" w:rsidP="00C53AD2">
            <w:pPr>
              <w:pStyle w:val="TableParagraph"/>
              <w:spacing w:before="61" w:line="240" w:lineRule="auto"/>
              <w:ind w:right="102"/>
              <w:rPr>
                <w:color w:val="00173C"/>
                <w:sz w:val="21"/>
                <w:lang w:val="en-US"/>
              </w:rPr>
            </w:pPr>
          </w:p>
        </w:tc>
      </w:tr>
    </w:tbl>
    <w:p w14:paraId="36B3896F" w14:textId="2A9A5C91" w:rsidR="00512BE8" w:rsidRPr="0087712A" w:rsidRDefault="00512BE8" w:rsidP="00512BE8">
      <w:pPr>
        <w:pStyle w:val="C"/>
        <w:spacing w:line="240" w:lineRule="auto"/>
        <w:jc w:val="both"/>
        <w:rPr>
          <w:rFonts w:eastAsia="Calibri" w:cs="Calibri"/>
        </w:rPr>
      </w:pPr>
      <w:r w:rsidRPr="0087712A">
        <w:rPr>
          <w:rFonts w:cs="Calibri"/>
          <w:noProof/>
          <w:lang w:val="en-US"/>
        </w:rPr>
        <mc:AlternateContent>
          <mc:Choice Requires="wps">
            <w:drawing>
              <wp:anchor distT="0" distB="0" distL="114300" distR="114300" simplePos="0" relativeHeight="251658255" behindDoc="0" locked="0" layoutInCell="1" allowOverlap="1" wp14:anchorId="2BBF243C" wp14:editId="5EDDE5A4">
                <wp:simplePos x="0" y="0"/>
                <wp:positionH relativeFrom="column">
                  <wp:posOffset>7075</wp:posOffset>
                </wp:positionH>
                <wp:positionV relativeFrom="paragraph">
                  <wp:posOffset>239667</wp:posOffset>
                </wp:positionV>
                <wp:extent cx="6204585" cy="0"/>
                <wp:effectExtent l="0" t="0" r="5715" b="12700"/>
                <wp:wrapNone/>
                <wp:docPr id="13" name="Straight Connector 13"/>
                <wp:cNvGraphicFramePr/>
                <a:graphic xmlns:a="http://schemas.openxmlformats.org/drawingml/2006/main">
                  <a:graphicData uri="http://schemas.microsoft.com/office/word/2010/wordprocessingShape">
                    <wps:wsp>
                      <wps:cNvCnPr/>
                      <wps:spPr>
                        <a:xfrm>
                          <a:off x="0" y="0"/>
                          <a:ext cx="6204585"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3191D" id="Straight Connector 13" o:spid="_x0000_s1026"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8.85pt" to="48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" strokecolor="#00183d" strokeweight=".25pt"/>
            </w:pict>
          </mc:Fallback>
        </mc:AlternateContent>
      </w:r>
      <w:r w:rsidRPr="0087712A">
        <w:rPr>
          <w:rFonts w:eastAsia="Calibri" w:cs="Calibri"/>
        </w:rPr>
        <w:t xml:space="preserve">TITAN Group - Review of the year </w:t>
      </w:r>
      <w:r w:rsidR="00D6344A" w:rsidRPr="0087712A">
        <w:rPr>
          <w:rFonts w:eastAsia="Calibri" w:cs="Calibri"/>
        </w:rPr>
        <w:t>202</w:t>
      </w:r>
      <w:r w:rsidR="00A62669" w:rsidRPr="0087712A">
        <w:rPr>
          <w:rFonts w:eastAsia="Calibri" w:cs="Calibri"/>
        </w:rPr>
        <w:t>2</w:t>
      </w:r>
    </w:p>
    <w:p w14:paraId="7140B341" w14:textId="21E386AA" w:rsidR="008D4DC0" w:rsidRDefault="00D12CEB" w:rsidP="008D4DC0">
      <w:pPr>
        <w:autoSpaceDE w:val="0"/>
        <w:autoSpaceDN w:val="0"/>
        <w:jc w:val="both"/>
        <w:rPr>
          <w:rFonts w:ascii="Calibri" w:eastAsia="Calibri" w:hAnsi="Calibri" w:cs="Calibri"/>
          <w:color w:val="00183D"/>
          <w:sz w:val="21"/>
          <w:szCs w:val="21"/>
        </w:rPr>
      </w:pPr>
      <w:r w:rsidRPr="008D4DC0">
        <w:rPr>
          <w:rFonts w:ascii="Calibri" w:eastAsia="Calibri" w:hAnsi="Calibri" w:cs="Calibri"/>
          <w:color w:val="00183D"/>
          <w:sz w:val="21"/>
          <w:szCs w:val="21"/>
        </w:rPr>
        <w:t xml:space="preserve">In 2022, Titan Cement Group successfully overcame </w:t>
      </w:r>
      <w:r w:rsidR="00881A99" w:rsidRPr="008D4DC0">
        <w:rPr>
          <w:rFonts w:ascii="Calibri" w:eastAsia="Calibri" w:hAnsi="Calibri" w:cs="Calibri"/>
          <w:color w:val="00183D"/>
          <w:sz w:val="21"/>
          <w:szCs w:val="21"/>
        </w:rPr>
        <w:t xml:space="preserve">inflation and supply chain </w:t>
      </w:r>
      <w:r w:rsidRPr="008D4DC0">
        <w:rPr>
          <w:rFonts w:ascii="Calibri" w:eastAsia="Calibri" w:hAnsi="Calibri" w:cs="Calibri"/>
          <w:color w:val="00183D"/>
          <w:sz w:val="21"/>
          <w:szCs w:val="21"/>
        </w:rPr>
        <w:t>challenges and achieved double-digit sales growth in all its markets. This was attributed to solid volumes</w:t>
      </w:r>
      <w:r w:rsidR="00D6052F" w:rsidRPr="008D4DC0">
        <w:rPr>
          <w:rFonts w:ascii="Calibri" w:eastAsia="Calibri" w:hAnsi="Calibri" w:cs="Calibri"/>
          <w:color w:val="00183D"/>
          <w:sz w:val="21"/>
          <w:szCs w:val="21"/>
        </w:rPr>
        <w:t>,</w:t>
      </w:r>
      <w:r w:rsidRPr="008D4DC0">
        <w:rPr>
          <w:rFonts w:ascii="Calibri" w:eastAsia="Calibri" w:hAnsi="Calibri" w:cs="Calibri"/>
          <w:color w:val="00183D"/>
          <w:sz w:val="21"/>
          <w:szCs w:val="21"/>
        </w:rPr>
        <w:t xml:space="preserve"> successful pricing strategies</w:t>
      </w:r>
      <w:r w:rsidR="00A47B56" w:rsidRPr="008D4DC0">
        <w:rPr>
          <w:rFonts w:ascii="Calibri" w:eastAsia="Calibri" w:hAnsi="Calibri" w:cs="Calibri"/>
          <w:color w:val="00183D"/>
          <w:sz w:val="21"/>
          <w:szCs w:val="21"/>
        </w:rPr>
        <w:t>,</w:t>
      </w:r>
      <w:r w:rsidR="00D6052F" w:rsidRPr="008D4DC0">
        <w:rPr>
          <w:rFonts w:ascii="Calibri" w:eastAsia="Calibri" w:hAnsi="Calibri" w:cs="Calibri"/>
          <w:color w:val="00183D"/>
          <w:sz w:val="21"/>
          <w:szCs w:val="21"/>
        </w:rPr>
        <w:t xml:space="preserve"> and energy cost</w:t>
      </w:r>
      <w:r w:rsidR="00CF42C1">
        <w:rPr>
          <w:rFonts w:ascii="Calibri" w:eastAsia="Calibri" w:hAnsi="Calibri" w:cs="Calibri"/>
          <w:color w:val="00183D"/>
          <w:sz w:val="21"/>
          <w:szCs w:val="21"/>
        </w:rPr>
        <w:t>-</w:t>
      </w:r>
      <w:r w:rsidR="00D6052F" w:rsidRPr="008D4DC0">
        <w:rPr>
          <w:rFonts w:ascii="Calibri" w:eastAsia="Calibri" w:hAnsi="Calibri" w:cs="Calibri"/>
          <w:color w:val="00183D"/>
          <w:sz w:val="21"/>
          <w:szCs w:val="21"/>
        </w:rPr>
        <w:t>efficiency actions</w:t>
      </w:r>
      <w:r w:rsidRPr="008D4DC0">
        <w:rPr>
          <w:rFonts w:ascii="Calibri" w:eastAsia="Calibri" w:hAnsi="Calibri" w:cs="Calibri"/>
          <w:color w:val="00183D"/>
          <w:sz w:val="21"/>
          <w:szCs w:val="21"/>
        </w:rPr>
        <w:t xml:space="preserve"> which helped offset rising energy and</w:t>
      </w:r>
      <w:r w:rsidR="007F25B9" w:rsidRPr="008D4DC0">
        <w:rPr>
          <w:rFonts w:ascii="Calibri" w:eastAsia="Calibri" w:hAnsi="Calibri" w:cs="Calibri"/>
          <w:color w:val="00183D"/>
          <w:sz w:val="21"/>
          <w:szCs w:val="21"/>
        </w:rPr>
        <w:t xml:space="preserve"> overall production </w:t>
      </w:r>
      <w:r w:rsidR="006A6FF3" w:rsidRPr="008D4DC0">
        <w:rPr>
          <w:rFonts w:ascii="Calibri" w:eastAsia="Calibri" w:hAnsi="Calibri" w:cs="Calibri"/>
          <w:color w:val="00183D"/>
          <w:sz w:val="21"/>
          <w:szCs w:val="21"/>
        </w:rPr>
        <w:t xml:space="preserve">costs as well as </w:t>
      </w:r>
      <w:r w:rsidRPr="008D4DC0">
        <w:rPr>
          <w:rFonts w:ascii="Calibri" w:eastAsia="Calibri" w:hAnsi="Calibri" w:cs="Calibri"/>
          <w:color w:val="00183D"/>
          <w:sz w:val="21"/>
          <w:szCs w:val="21"/>
        </w:rPr>
        <w:t>transportation costs. Input and energy costs started increasing during the last quarter of 202</w:t>
      </w:r>
      <w:r w:rsidR="001934C9" w:rsidRPr="008D4DC0">
        <w:rPr>
          <w:rFonts w:ascii="Calibri" w:eastAsia="Calibri" w:hAnsi="Calibri" w:cs="Calibri"/>
          <w:color w:val="00183D"/>
          <w:sz w:val="21"/>
          <w:szCs w:val="21"/>
        </w:rPr>
        <w:t>1</w:t>
      </w:r>
      <w:r w:rsidR="006A6FF3" w:rsidRPr="008D4DC0">
        <w:rPr>
          <w:rFonts w:ascii="Calibri" w:eastAsia="Calibri" w:hAnsi="Calibri" w:cs="Calibri"/>
          <w:color w:val="00183D"/>
          <w:sz w:val="21"/>
          <w:szCs w:val="21"/>
        </w:rPr>
        <w:t xml:space="preserve"> and over </w:t>
      </w:r>
      <w:r w:rsidR="002C1181" w:rsidRPr="008D4DC0">
        <w:rPr>
          <w:rFonts w:ascii="Calibri" w:eastAsia="Calibri" w:hAnsi="Calibri" w:cs="Calibri"/>
          <w:color w:val="00183D"/>
          <w:sz w:val="21"/>
          <w:szCs w:val="21"/>
        </w:rPr>
        <w:t>the following twelve months</w:t>
      </w:r>
      <w:r w:rsidRPr="008D4DC0">
        <w:rPr>
          <w:rFonts w:ascii="Calibri" w:eastAsia="Calibri" w:hAnsi="Calibri" w:cs="Calibri"/>
          <w:color w:val="00183D"/>
          <w:sz w:val="21"/>
          <w:szCs w:val="21"/>
        </w:rPr>
        <w:t xml:space="preserve"> those costs intensified further, reaching at times historical high levels. </w:t>
      </w:r>
      <w:proofErr w:type="gramStart"/>
      <w:r w:rsidRPr="008D4DC0">
        <w:rPr>
          <w:rFonts w:ascii="Calibri" w:eastAsia="Calibri" w:hAnsi="Calibri" w:cs="Calibri"/>
          <w:color w:val="00183D"/>
          <w:sz w:val="21"/>
          <w:szCs w:val="21"/>
        </w:rPr>
        <w:t>During the course of</w:t>
      </w:r>
      <w:proofErr w:type="gramEnd"/>
      <w:r w:rsidRPr="008D4DC0">
        <w:rPr>
          <w:rFonts w:ascii="Calibri" w:eastAsia="Calibri" w:hAnsi="Calibri" w:cs="Calibri"/>
          <w:color w:val="00183D"/>
          <w:sz w:val="21"/>
          <w:szCs w:val="21"/>
        </w:rPr>
        <w:t xml:space="preserve"> </w:t>
      </w:r>
      <w:r w:rsidR="002C1181" w:rsidRPr="008D4DC0">
        <w:rPr>
          <w:rFonts w:ascii="Calibri" w:eastAsia="Calibri" w:hAnsi="Calibri" w:cs="Calibri"/>
          <w:color w:val="00183D"/>
          <w:sz w:val="21"/>
          <w:szCs w:val="21"/>
        </w:rPr>
        <w:t>this period</w:t>
      </w:r>
      <w:r w:rsidRPr="008D4DC0">
        <w:rPr>
          <w:rFonts w:ascii="Calibri" w:eastAsia="Calibri" w:hAnsi="Calibri" w:cs="Calibri"/>
          <w:color w:val="00183D"/>
          <w:sz w:val="21"/>
          <w:szCs w:val="21"/>
        </w:rPr>
        <w:t xml:space="preserve">, we increased our prices, targeting to offset </w:t>
      </w:r>
      <w:r w:rsidR="002C1181" w:rsidRPr="008D4DC0">
        <w:rPr>
          <w:rFonts w:ascii="Calibri" w:eastAsia="Calibri" w:hAnsi="Calibri" w:cs="Calibri"/>
          <w:color w:val="00183D"/>
          <w:sz w:val="21"/>
          <w:szCs w:val="21"/>
        </w:rPr>
        <w:t>the overall</w:t>
      </w:r>
      <w:r w:rsidR="00420BCA" w:rsidRPr="008D4DC0">
        <w:rPr>
          <w:rFonts w:ascii="Calibri" w:eastAsia="Calibri" w:hAnsi="Calibri" w:cs="Calibri"/>
          <w:color w:val="00183D"/>
          <w:sz w:val="21"/>
          <w:szCs w:val="21"/>
        </w:rPr>
        <w:t xml:space="preserve"> </w:t>
      </w:r>
      <w:r w:rsidR="00382B27" w:rsidRPr="008D4DC0">
        <w:rPr>
          <w:rFonts w:ascii="Calibri" w:eastAsia="Calibri" w:hAnsi="Calibri" w:cs="Calibri"/>
          <w:color w:val="00183D"/>
          <w:sz w:val="21"/>
          <w:szCs w:val="21"/>
        </w:rPr>
        <w:t>increases in costs and to restore our declining margins.</w:t>
      </w:r>
      <w:r w:rsidRPr="008D4DC0">
        <w:rPr>
          <w:rFonts w:ascii="Calibri" w:eastAsia="Calibri" w:hAnsi="Calibri" w:cs="Calibri"/>
          <w:color w:val="00183D"/>
          <w:sz w:val="21"/>
          <w:szCs w:val="21"/>
        </w:rPr>
        <w:t xml:space="preserve"> </w:t>
      </w:r>
      <w:r w:rsidR="00382B27" w:rsidRPr="008D4DC0">
        <w:rPr>
          <w:rFonts w:ascii="Calibri" w:eastAsia="Calibri" w:hAnsi="Calibri" w:cs="Calibri"/>
          <w:color w:val="00183D"/>
          <w:sz w:val="21"/>
          <w:szCs w:val="21"/>
        </w:rPr>
        <w:t>In the last quarter of 2022,</w:t>
      </w:r>
      <w:r w:rsidRPr="008D4DC0">
        <w:rPr>
          <w:rFonts w:ascii="Calibri" w:eastAsia="Calibri" w:hAnsi="Calibri" w:cs="Calibri"/>
          <w:color w:val="00183D"/>
          <w:sz w:val="21"/>
          <w:szCs w:val="21"/>
        </w:rPr>
        <w:t xml:space="preserve"> energy costs</w:t>
      </w:r>
      <w:r w:rsidRPr="008D4DC0" w:rsidDel="00B02904">
        <w:rPr>
          <w:rFonts w:ascii="Calibri" w:eastAsia="Calibri" w:hAnsi="Calibri" w:cs="Calibri"/>
          <w:color w:val="00183D"/>
          <w:sz w:val="21"/>
          <w:szCs w:val="21"/>
        </w:rPr>
        <w:t xml:space="preserve"> </w:t>
      </w:r>
      <w:r w:rsidR="00735984" w:rsidRPr="008D4DC0">
        <w:rPr>
          <w:rFonts w:ascii="Calibri" w:eastAsia="Calibri" w:hAnsi="Calibri" w:cs="Calibri"/>
          <w:color w:val="00183D"/>
          <w:sz w:val="21"/>
          <w:szCs w:val="21"/>
        </w:rPr>
        <w:t>improved</w:t>
      </w:r>
      <w:r w:rsidRPr="008D4DC0">
        <w:rPr>
          <w:rFonts w:ascii="Calibri" w:eastAsia="Calibri" w:hAnsi="Calibri" w:cs="Calibri"/>
          <w:color w:val="00183D"/>
          <w:sz w:val="21"/>
          <w:szCs w:val="21"/>
        </w:rPr>
        <w:t xml:space="preserve"> as a result of </w:t>
      </w:r>
      <w:r w:rsidR="008860B2" w:rsidRPr="008D4DC0">
        <w:rPr>
          <w:rFonts w:ascii="Calibri" w:eastAsia="Calibri" w:hAnsi="Calibri" w:cs="Calibri"/>
          <w:color w:val="00183D"/>
          <w:sz w:val="21"/>
          <w:szCs w:val="21"/>
        </w:rPr>
        <w:t>cost-saving actions</w:t>
      </w:r>
      <w:r w:rsidR="00382B27" w:rsidRPr="008D4DC0">
        <w:rPr>
          <w:rFonts w:ascii="Calibri" w:eastAsia="Calibri" w:hAnsi="Calibri" w:cs="Calibri"/>
          <w:color w:val="00183D"/>
          <w:sz w:val="21"/>
          <w:szCs w:val="21"/>
        </w:rPr>
        <w:t>, more use of alternative</w:t>
      </w:r>
      <w:r w:rsidR="008444E5" w:rsidRPr="008D4DC0">
        <w:rPr>
          <w:rFonts w:ascii="Calibri" w:eastAsia="Calibri" w:hAnsi="Calibri" w:cs="Calibri"/>
          <w:color w:val="00183D"/>
          <w:sz w:val="21"/>
          <w:szCs w:val="21"/>
        </w:rPr>
        <w:t xml:space="preserve"> f</w:t>
      </w:r>
      <w:r w:rsidR="00382B27" w:rsidRPr="008D4DC0">
        <w:rPr>
          <w:rFonts w:ascii="Calibri" w:eastAsia="Calibri" w:hAnsi="Calibri" w:cs="Calibri"/>
          <w:color w:val="00183D"/>
          <w:sz w:val="21"/>
          <w:szCs w:val="21"/>
        </w:rPr>
        <w:t>uels</w:t>
      </w:r>
      <w:r w:rsidR="00A47B56" w:rsidRPr="008D4DC0">
        <w:rPr>
          <w:rFonts w:ascii="Calibri" w:eastAsia="Calibri" w:hAnsi="Calibri" w:cs="Calibri"/>
          <w:color w:val="00183D"/>
          <w:sz w:val="21"/>
          <w:szCs w:val="21"/>
        </w:rPr>
        <w:t>,</w:t>
      </w:r>
      <w:r w:rsidR="008444E5" w:rsidRPr="008D4DC0">
        <w:rPr>
          <w:rFonts w:ascii="Calibri" w:eastAsia="Calibri" w:hAnsi="Calibri" w:cs="Calibri"/>
          <w:color w:val="00183D"/>
          <w:sz w:val="21"/>
          <w:szCs w:val="21"/>
        </w:rPr>
        <w:t xml:space="preserve"> and</w:t>
      </w:r>
      <w:r w:rsidR="008860B2" w:rsidRPr="008D4DC0">
        <w:rPr>
          <w:rFonts w:ascii="Calibri" w:eastAsia="Calibri" w:hAnsi="Calibri" w:cs="Calibri"/>
          <w:color w:val="00183D"/>
          <w:sz w:val="21"/>
          <w:szCs w:val="21"/>
        </w:rPr>
        <w:t xml:space="preserve"> market conditions</w:t>
      </w:r>
      <w:r w:rsidRPr="008D4DC0">
        <w:rPr>
          <w:rFonts w:ascii="Calibri" w:eastAsia="Calibri" w:hAnsi="Calibri" w:cs="Calibri"/>
          <w:color w:val="00183D"/>
          <w:sz w:val="21"/>
          <w:szCs w:val="21"/>
        </w:rPr>
        <w:t>, allowing</w:t>
      </w:r>
      <w:r w:rsidR="008444E5" w:rsidRPr="008D4DC0">
        <w:rPr>
          <w:rFonts w:ascii="Calibri" w:eastAsia="Calibri" w:hAnsi="Calibri" w:cs="Calibri"/>
          <w:color w:val="00183D"/>
          <w:sz w:val="21"/>
          <w:szCs w:val="21"/>
        </w:rPr>
        <w:t xml:space="preserve"> a recovery of </w:t>
      </w:r>
      <w:r w:rsidRPr="008D4DC0">
        <w:rPr>
          <w:rFonts w:ascii="Calibri" w:eastAsia="Calibri" w:hAnsi="Calibri" w:cs="Calibri"/>
          <w:color w:val="00183D"/>
          <w:sz w:val="21"/>
          <w:szCs w:val="21"/>
        </w:rPr>
        <w:t xml:space="preserve">EBITDA margins. </w:t>
      </w:r>
      <w:r w:rsidR="008D4DC0" w:rsidRPr="00B87E08">
        <w:rPr>
          <w:rFonts w:ascii="Calibri" w:eastAsia="Calibri" w:hAnsi="Calibri" w:cs="Calibri"/>
          <w:color w:val="00183D"/>
          <w:sz w:val="21"/>
          <w:szCs w:val="21"/>
        </w:rPr>
        <w:t xml:space="preserve">On the customer front, the offering of green products and solutions was almost at 20% of production, serving amongst other iconic projects across our markets such as the Cairo Monorail in Egypt, the </w:t>
      </w:r>
      <w:r w:rsidR="00C30734">
        <w:rPr>
          <w:rFonts w:ascii="Calibri" w:eastAsia="Calibri" w:hAnsi="Calibri" w:cs="Calibri"/>
          <w:color w:val="00183D"/>
          <w:sz w:val="21"/>
          <w:szCs w:val="21"/>
        </w:rPr>
        <w:t>“</w:t>
      </w:r>
      <w:proofErr w:type="spellStart"/>
      <w:r w:rsidR="00D155C0">
        <w:rPr>
          <w:rFonts w:ascii="Calibri" w:eastAsia="Calibri" w:hAnsi="Calibri" w:cs="Calibri"/>
          <w:color w:val="00183D"/>
          <w:sz w:val="21"/>
          <w:szCs w:val="21"/>
        </w:rPr>
        <w:t>E</w:t>
      </w:r>
      <w:r w:rsidR="00D155C0" w:rsidRPr="00B87E08">
        <w:rPr>
          <w:rFonts w:ascii="Calibri" w:eastAsia="Calibri" w:hAnsi="Calibri" w:cs="Calibri"/>
          <w:color w:val="00183D"/>
          <w:sz w:val="21"/>
          <w:szCs w:val="21"/>
        </w:rPr>
        <w:t>llinikon</w:t>
      </w:r>
      <w:proofErr w:type="spellEnd"/>
      <w:r w:rsidR="00C30734">
        <w:rPr>
          <w:rFonts w:ascii="Calibri" w:eastAsia="Calibri" w:hAnsi="Calibri" w:cs="Calibri"/>
          <w:color w:val="00183D"/>
          <w:sz w:val="21"/>
          <w:szCs w:val="21"/>
        </w:rPr>
        <w:t>”</w:t>
      </w:r>
      <w:r w:rsidR="008D4DC0" w:rsidRPr="00B87E08">
        <w:rPr>
          <w:rFonts w:ascii="Calibri" w:eastAsia="Calibri" w:hAnsi="Calibri" w:cs="Calibri"/>
          <w:color w:val="00183D"/>
          <w:sz w:val="21"/>
          <w:szCs w:val="21"/>
        </w:rPr>
        <w:t xml:space="preserve"> project and the new subway line 4 in Athens, Greece, and Virginia’s Thimble Shoals Tunnel in the US.</w:t>
      </w:r>
      <w:r w:rsidR="008D4DC0" w:rsidRPr="007E46D4">
        <w:rPr>
          <w:rFonts w:ascii="Calibri" w:eastAsia="Calibri" w:hAnsi="Calibri" w:cs="Calibri"/>
          <w:color w:val="00183D"/>
          <w:sz w:val="21"/>
          <w:szCs w:val="21"/>
        </w:rPr>
        <w:t xml:space="preserve"> </w:t>
      </w:r>
    </w:p>
    <w:p w14:paraId="67661F27" w14:textId="5A29B335" w:rsidR="008D4DC0" w:rsidRPr="0087712A" w:rsidRDefault="008D4DC0" w:rsidP="00D12CEB">
      <w:pPr>
        <w:pStyle w:val="Default"/>
        <w:jc w:val="both"/>
        <w:rPr>
          <w:rFonts w:eastAsia="Calibri"/>
          <w:color w:val="00183D"/>
          <w:sz w:val="21"/>
          <w:szCs w:val="21"/>
        </w:rPr>
      </w:pPr>
    </w:p>
    <w:p w14:paraId="64D02353" w14:textId="337AD507" w:rsidR="00E33F66" w:rsidRPr="00E33F66" w:rsidRDefault="00E33F66" w:rsidP="00E33F66">
      <w:pPr>
        <w:autoSpaceDE w:val="0"/>
        <w:autoSpaceDN w:val="0"/>
        <w:jc w:val="both"/>
        <w:rPr>
          <w:rFonts w:ascii="Calibri" w:eastAsia="Calibri" w:hAnsi="Calibri" w:cs="Calibri"/>
          <w:color w:val="00183D"/>
          <w:sz w:val="21"/>
          <w:szCs w:val="21"/>
        </w:rPr>
      </w:pPr>
      <w:r w:rsidRPr="00E33F66">
        <w:rPr>
          <w:rFonts w:ascii="Calibri" w:eastAsia="Calibri" w:hAnsi="Calibri" w:cs="Calibri"/>
          <w:color w:val="00183D"/>
          <w:sz w:val="21"/>
          <w:szCs w:val="21"/>
        </w:rPr>
        <w:t xml:space="preserve">The Group delivered robust sales of €2,282.2m reflecting a solid 33.1% increase compared to the previous year. </w:t>
      </w:r>
      <w:r w:rsidR="001934C9">
        <w:rPr>
          <w:rFonts w:ascii="Calibri" w:eastAsia="Calibri" w:hAnsi="Calibri" w:cs="Calibri"/>
          <w:color w:val="00183D"/>
          <w:sz w:val="21"/>
          <w:szCs w:val="21"/>
        </w:rPr>
        <w:t>To be noted that sales</w:t>
      </w:r>
      <w:r w:rsidR="00D83B73">
        <w:rPr>
          <w:rFonts w:ascii="Calibri" w:eastAsia="Calibri" w:hAnsi="Calibri" w:cs="Calibri"/>
          <w:color w:val="00183D"/>
          <w:sz w:val="21"/>
          <w:szCs w:val="21"/>
        </w:rPr>
        <w:t xml:space="preserve"> </w:t>
      </w:r>
      <w:r w:rsidR="009650B1">
        <w:rPr>
          <w:rFonts w:ascii="Calibri" w:eastAsia="Calibri" w:hAnsi="Calibri" w:cs="Calibri"/>
          <w:color w:val="00183D"/>
          <w:sz w:val="21"/>
          <w:szCs w:val="21"/>
        </w:rPr>
        <w:t xml:space="preserve">as well as cost of sales were impacted </w:t>
      </w:r>
      <w:r w:rsidR="00C27802">
        <w:rPr>
          <w:rFonts w:ascii="Calibri" w:eastAsia="Calibri" w:hAnsi="Calibri" w:cs="Calibri"/>
          <w:color w:val="00183D"/>
          <w:sz w:val="21"/>
          <w:szCs w:val="21"/>
        </w:rPr>
        <w:t xml:space="preserve">by inflation and the strong USD. </w:t>
      </w:r>
      <w:r w:rsidRPr="00E33F66">
        <w:rPr>
          <w:rFonts w:ascii="Calibri" w:eastAsia="Calibri" w:hAnsi="Calibri" w:cs="Calibri"/>
          <w:color w:val="00183D"/>
          <w:sz w:val="21"/>
          <w:szCs w:val="21"/>
        </w:rPr>
        <w:t>Despite the challenges posed by surging energy costs, the Group's actions to adopt a dynamic price increases strategy and enhance its energy mix, coupled with efficiency gains thanks to digitalization of its manufacturing process, have resulted in a significant EBITDA improvement. In 2022, the Group's EBITDA increased by 20.3% compared to 2021, reaching €331.2m. The Group's net result after taxes and minority interests</w:t>
      </w:r>
      <w:r w:rsidR="00A96543">
        <w:rPr>
          <w:rFonts w:ascii="Calibri" w:eastAsia="Calibri" w:hAnsi="Calibri" w:cs="Calibri"/>
          <w:color w:val="00183D"/>
          <w:sz w:val="21"/>
          <w:szCs w:val="21"/>
        </w:rPr>
        <w:t xml:space="preserve"> </w:t>
      </w:r>
      <w:r w:rsidRPr="00E33F66">
        <w:rPr>
          <w:rFonts w:ascii="Calibri" w:eastAsia="Calibri" w:hAnsi="Calibri" w:cs="Calibri"/>
          <w:color w:val="00183D"/>
          <w:sz w:val="21"/>
          <w:szCs w:val="21"/>
        </w:rPr>
        <w:t>also showed significant growth, reaching €109.7</w:t>
      </w:r>
      <w:r w:rsidR="00232211">
        <w:rPr>
          <w:rFonts w:ascii="Calibri" w:eastAsia="Calibri" w:hAnsi="Calibri" w:cs="Calibri"/>
          <w:color w:val="00183D"/>
          <w:sz w:val="21"/>
          <w:szCs w:val="21"/>
        </w:rPr>
        <w:t>m</w:t>
      </w:r>
      <w:r w:rsidRPr="00E33F66">
        <w:rPr>
          <w:rFonts w:ascii="Calibri" w:eastAsia="Calibri" w:hAnsi="Calibri" w:cs="Calibri"/>
          <w:color w:val="00183D"/>
          <w:sz w:val="21"/>
          <w:szCs w:val="21"/>
        </w:rPr>
        <w:t>, an increase of 19.3% from the €91.9m profit in 2021. Noted that IAS 29 for hyperinflation was applied in the operations in Turkey, leading to a gain on net monetary position of €26.3</w:t>
      </w:r>
      <w:r w:rsidR="00232211">
        <w:rPr>
          <w:rFonts w:ascii="Calibri" w:eastAsia="Calibri" w:hAnsi="Calibri" w:cs="Calibri"/>
          <w:color w:val="00183D"/>
          <w:sz w:val="21"/>
          <w:szCs w:val="21"/>
        </w:rPr>
        <w:t>m</w:t>
      </w:r>
      <w:r w:rsidRPr="00E33F66">
        <w:rPr>
          <w:rFonts w:ascii="Calibri" w:eastAsia="Calibri" w:hAnsi="Calibri" w:cs="Calibri"/>
          <w:color w:val="00183D"/>
          <w:sz w:val="21"/>
          <w:szCs w:val="21"/>
        </w:rPr>
        <w:t xml:space="preserve"> and reducing the EBITDA by €3.4m. A goodwill impairment of €21.8m was recognized practically reversing the gain that resulted from hyperinflation. </w:t>
      </w:r>
    </w:p>
    <w:p w14:paraId="2006648A" w14:textId="77777777" w:rsidR="0069796C" w:rsidRDefault="0069796C" w:rsidP="00E33F66">
      <w:pPr>
        <w:autoSpaceDE w:val="0"/>
        <w:autoSpaceDN w:val="0"/>
        <w:jc w:val="both"/>
        <w:rPr>
          <w:rFonts w:ascii="Calibri" w:eastAsia="Calibri" w:hAnsi="Calibri" w:cs="Calibri"/>
          <w:color w:val="00183D"/>
          <w:sz w:val="21"/>
          <w:szCs w:val="21"/>
        </w:rPr>
      </w:pPr>
    </w:p>
    <w:p w14:paraId="21CFA8F3" w14:textId="18A95BC2" w:rsidR="00C7065D" w:rsidRDefault="00F67919" w:rsidP="008D4DC0">
      <w:pPr>
        <w:autoSpaceDE w:val="0"/>
        <w:autoSpaceDN w:val="0"/>
        <w:jc w:val="both"/>
        <w:rPr>
          <w:rFonts w:ascii="Calibri" w:eastAsia="Calibri" w:hAnsi="Calibri" w:cs="Calibri"/>
          <w:color w:val="00183D"/>
          <w:sz w:val="21"/>
          <w:szCs w:val="21"/>
        </w:rPr>
      </w:pPr>
      <w:r w:rsidRPr="00F67919">
        <w:rPr>
          <w:rFonts w:ascii="Calibri" w:eastAsia="Calibri" w:hAnsi="Calibri" w:cs="Calibri"/>
          <w:color w:val="00183D"/>
          <w:sz w:val="21"/>
          <w:szCs w:val="21"/>
        </w:rPr>
        <w:t>Market dynamics remained favorable during 2022, allowing the Group to increase domestic volumes. At Group level, domestic cement, ready</w:t>
      </w:r>
      <w:r w:rsidR="00A96543">
        <w:rPr>
          <w:rFonts w:ascii="Calibri" w:eastAsia="Calibri" w:hAnsi="Calibri" w:cs="Calibri"/>
          <w:color w:val="00183D"/>
          <w:sz w:val="21"/>
          <w:szCs w:val="21"/>
        </w:rPr>
        <w:t>-</w:t>
      </w:r>
      <w:r w:rsidRPr="00F67919">
        <w:rPr>
          <w:rFonts w:ascii="Calibri" w:eastAsia="Calibri" w:hAnsi="Calibri" w:cs="Calibri"/>
          <w:color w:val="00183D"/>
          <w:sz w:val="21"/>
          <w:szCs w:val="21"/>
        </w:rPr>
        <w:t>mix</w:t>
      </w:r>
      <w:r w:rsidR="00A96543">
        <w:rPr>
          <w:rFonts w:ascii="Calibri" w:eastAsia="Calibri" w:hAnsi="Calibri" w:cs="Calibri"/>
          <w:color w:val="00183D"/>
          <w:sz w:val="21"/>
          <w:szCs w:val="21"/>
        </w:rPr>
        <w:t>,</w:t>
      </w:r>
      <w:r w:rsidRPr="00F67919">
        <w:rPr>
          <w:rFonts w:ascii="Calibri" w:eastAsia="Calibri" w:hAnsi="Calibri" w:cs="Calibri"/>
          <w:color w:val="00183D"/>
          <w:sz w:val="21"/>
          <w:szCs w:val="21"/>
        </w:rPr>
        <w:t xml:space="preserve"> and fly-ash volumes increased for another</w:t>
      </w:r>
      <w:r w:rsidR="00B13532">
        <w:rPr>
          <w:rFonts w:ascii="Calibri" w:eastAsia="Calibri" w:hAnsi="Calibri" w:cs="Calibri"/>
          <w:color w:val="00183D"/>
          <w:sz w:val="21"/>
          <w:szCs w:val="21"/>
        </w:rPr>
        <w:t xml:space="preserve"> </w:t>
      </w:r>
      <w:r w:rsidRPr="00F67919">
        <w:rPr>
          <w:rFonts w:ascii="Calibri" w:eastAsia="Calibri" w:hAnsi="Calibri" w:cs="Calibri"/>
          <w:color w:val="00183D"/>
          <w:sz w:val="21"/>
          <w:szCs w:val="21"/>
        </w:rPr>
        <w:t xml:space="preserve">consecutive year, while we have seen some slowdown in </w:t>
      </w:r>
      <w:r w:rsidR="00A96543">
        <w:rPr>
          <w:rFonts w:ascii="Calibri" w:eastAsia="Calibri" w:hAnsi="Calibri" w:cs="Calibri"/>
          <w:color w:val="00183D"/>
          <w:sz w:val="21"/>
          <w:szCs w:val="21"/>
        </w:rPr>
        <w:t>third-party</w:t>
      </w:r>
      <w:r w:rsidR="00B13532">
        <w:rPr>
          <w:rFonts w:ascii="Calibri" w:eastAsia="Calibri" w:hAnsi="Calibri" w:cs="Calibri"/>
          <w:color w:val="00183D"/>
          <w:sz w:val="21"/>
          <w:szCs w:val="21"/>
        </w:rPr>
        <w:t xml:space="preserve"> cement exports, </w:t>
      </w:r>
      <w:r w:rsidRPr="00F67919">
        <w:rPr>
          <w:rFonts w:ascii="Calibri" w:eastAsia="Calibri" w:hAnsi="Calibri" w:cs="Calibri"/>
          <w:color w:val="00183D"/>
          <w:sz w:val="21"/>
          <w:szCs w:val="21"/>
        </w:rPr>
        <w:t>aggregates</w:t>
      </w:r>
      <w:r w:rsidR="00CE7C7F">
        <w:rPr>
          <w:rFonts w:ascii="Calibri" w:eastAsia="Calibri" w:hAnsi="Calibri" w:cs="Calibri"/>
          <w:color w:val="00183D"/>
          <w:sz w:val="21"/>
          <w:szCs w:val="21"/>
        </w:rPr>
        <w:t>,</w:t>
      </w:r>
      <w:r w:rsidRPr="00F67919">
        <w:rPr>
          <w:rFonts w:ascii="Calibri" w:eastAsia="Calibri" w:hAnsi="Calibri" w:cs="Calibri"/>
          <w:color w:val="00183D"/>
          <w:sz w:val="21"/>
          <w:szCs w:val="21"/>
        </w:rPr>
        <w:t xml:space="preserve"> and building </w:t>
      </w:r>
      <w:r w:rsidR="00FA15AA">
        <w:rPr>
          <w:rFonts w:ascii="Calibri" w:eastAsia="Calibri" w:hAnsi="Calibri" w:cs="Calibri"/>
          <w:color w:val="00183D"/>
          <w:sz w:val="21"/>
          <w:szCs w:val="21"/>
        </w:rPr>
        <w:t>light pre-cast</w:t>
      </w:r>
      <w:r w:rsidRPr="00F67919">
        <w:rPr>
          <w:rFonts w:ascii="Calibri" w:eastAsia="Calibri" w:hAnsi="Calibri" w:cs="Calibri"/>
          <w:color w:val="00183D"/>
          <w:sz w:val="21"/>
          <w:szCs w:val="21"/>
        </w:rPr>
        <w:t xml:space="preserve"> volumes. Group domestic cement sales have increased by 2% (excluding exports) </w:t>
      </w:r>
      <w:r w:rsidR="00232211">
        <w:rPr>
          <w:rFonts w:ascii="Calibri" w:eastAsia="Calibri" w:hAnsi="Calibri" w:cs="Calibri"/>
          <w:color w:val="00183D"/>
          <w:sz w:val="21"/>
          <w:szCs w:val="21"/>
        </w:rPr>
        <w:t xml:space="preserve">to 17.2m tons </w:t>
      </w:r>
      <w:r w:rsidRPr="00F67919">
        <w:rPr>
          <w:rFonts w:ascii="Calibri" w:eastAsia="Calibri" w:hAnsi="Calibri" w:cs="Calibri"/>
          <w:color w:val="00183D"/>
          <w:sz w:val="21"/>
          <w:szCs w:val="21"/>
        </w:rPr>
        <w:t>driven by higher volumes in the US, Greece</w:t>
      </w:r>
      <w:r w:rsidR="00CE7C7F">
        <w:rPr>
          <w:rFonts w:ascii="Calibri" w:eastAsia="Calibri" w:hAnsi="Calibri" w:cs="Calibri"/>
          <w:color w:val="00183D"/>
          <w:sz w:val="21"/>
          <w:szCs w:val="21"/>
        </w:rPr>
        <w:t>,</w:t>
      </w:r>
      <w:r w:rsidRPr="00F67919">
        <w:rPr>
          <w:rFonts w:ascii="Calibri" w:eastAsia="Calibri" w:hAnsi="Calibri" w:cs="Calibri"/>
          <w:color w:val="00183D"/>
          <w:sz w:val="21"/>
          <w:szCs w:val="21"/>
        </w:rPr>
        <w:t xml:space="preserve"> and Southeast Europe. Volumes in Ready</w:t>
      </w:r>
      <w:r w:rsidR="00A96543">
        <w:rPr>
          <w:rFonts w:ascii="Calibri" w:eastAsia="Calibri" w:hAnsi="Calibri" w:cs="Calibri"/>
          <w:color w:val="00183D"/>
          <w:sz w:val="21"/>
          <w:szCs w:val="21"/>
        </w:rPr>
        <w:t>-</w:t>
      </w:r>
      <w:r w:rsidRPr="00F67919">
        <w:rPr>
          <w:rFonts w:ascii="Calibri" w:eastAsia="Calibri" w:hAnsi="Calibri" w:cs="Calibri"/>
          <w:color w:val="00183D"/>
          <w:sz w:val="21"/>
          <w:szCs w:val="21"/>
        </w:rPr>
        <w:t>mix increased by 2%, reaching 5.6 million m</w:t>
      </w:r>
      <w:r w:rsidRPr="00CE7C7F">
        <w:rPr>
          <w:rFonts w:ascii="Calibri" w:eastAsia="Calibri" w:hAnsi="Calibri" w:cs="Calibri"/>
          <w:color w:val="00183D"/>
          <w:sz w:val="21"/>
          <w:szCs w:val="21"/>
          <w:vertAlign w:val="superscript"/>
        </w:rPr>
        <w:t>3</w:t>
      </w:r>
      <w:r w:rsidRPr="00F67919">
        <w:rPr>
          <w:rFonts w:ascii="Calibri" w:eastAsia="Calibri" w:hAnsi="Calibri" w:cs="Calibri"/>
          <w:color w:val="00183D"/>
          <w:sz w:val="21"/>
          <w:szCs w:val="21"/>
        </w:rPr>
        <w:t xml:space="preserve"> mostly thanks to the continuous strength of the Greek market. </w:t>
      </w:r>
    </w:p>
    <w:p w14:paraId="5E2C14B2" w14:textId="77777777" w:rsidR="003F32E7" w:rsidRPr="0087712A" w:rsidRDefault="003F32E7" w:rsidP="008D4DC0">
      <w:pPr>
        <w:autoSpaceDE w:val="0"/>
        <w:autoSpaceDN w:val="0"/>
        <w:jc w:val="both"/>
        <w:rPr>
          <w:rFonts w:ascii="Calibri" w:eastAsia="Calibri" w:hAnsi="Calibri" w:cs="Calibri"/>
          <w:color w:val="00183D"/>
          <w:sz w:val="21"/>
          <w:szCs w:val="21"/>
        </w:rPr>
      </w:pPr>
    </w:p>
    <w:tbl>
      <w:tblPr>
        <w:tblpPr w:leftFromText="180" w:rightFromText="180" w:vertAnchor="text" w:horzAnchor="margin" w:tblpY="187"/>
        <w:tblW w:w="7260" w:type="dxa"/>
        <w:tblLook w:val="04A0" w:firstRow="1" w:lastRow="0" w:firstColumn="1" w:lastColumn="0" w:noHBand="0" w:noVBand="1"/>
      </w:tblPr>
      <w:tblGrid>
        <w:gridCol w:w="3549"/>
        <w:gridCol w:w="1350"/>
        <w:gridCol w:w="1259"/>
        <w:gridCol w:w="1102"/>
      </w:tblGrid>
      <w:tr w:rsidR="00A03F7C" w:rsidRPr="0087712A" w14:paraId="2FE53C52" w14:textId="77777777" w:rsidTr="00AB7801">
        <w:trPr>
          <w:trHeight w:val="469"/>
        </w:trPr>
        <w:tc>
          <w:tcPr>
            <w:tcW w:w="3549" w:type="dxa"/>
            <w:tcBorders>
              <w:top w:val="nil"/>
              <w:left w:val="nil"/>
              <w:bottom w:val="nil"/>
              <w:right w:val="nil"/>
            </w:tcBorders>
            <w:shd w:val="clear" w:color="auto" w:fill="auto"/>
            <w:noWrap/>
            <w:vAlign w:val="center"/>
          </w:tcPr>
          <w:p w14:paraId="76E5C80A" w14:textId="77777777" w:rsidR="00A03F7C" w:rsidRPr="0087712A" w:rsidRDefault="00A03F7C" w:rsidP="00A03F7C">
            <w:pPr>
              <w:rPr>
                <w:rFonts w:ascii="Calibri" w:eastAsia="Calibri" w:hAnsi="Calibri" w:cs="Calibri"/>
                <w:i/>
                <w:iCs/>
                <w:color w:val="00183D"/>
                <w:sz w:val="14"/>
                <w:szCs w:val="14"/>
                <w:lang w:eastAsia="en-GB"/>
              </w:rPr>
            </w:pPr>
          </w:p>
          <w:p w14:paraId="68381061" w14:textId="77777777" w:rsidR="00A03F7C" w:rsidRPr="0087712A" w:rsidRDefault="00A03F7C" w:rsidP="00A03F7C">
            <w:pPr>
              <w:rPr>
                <w:rFonts w:ascii="Calibri" w:eastAsia="Calibri" w:hAnsi="Calibri" w:cs="Calibri"/>
                <w:i/>
                <w:color w:val="00183D"/>
                <w:sz w:val="14"/>
                <w:szCs w:val="14"/>
                <w:lang w:eastAsia="en-GB"/>
              </w:rPr>
            </w:pPr>
            <w:r w:rsidRPr="0087712A">
              <w:rPr>
                <w:rFonts w:ascii="Calibri" w:eastAsia="Calibri" w:hAnsi="Calibri" w:cs="Calibri"/>
                <w:i/>
                <w:iCs/>
                <w:color w:val="00183D"/>
                <w:sz w:val="14"/>
                <w:szCs w:val="14"/>
                <w:lang w:val="en-GB" w:eastAsia="en-GB"/>
              </w:rPr>
              <w:t>million</w:t>
            </w:r>
          </w:p>
        </w:tc>
        <w:tc>
          <w:tcPr>
            <w:tcW w:w="1350" w:type="dxa"/>
            <w:tcBorders>
              <w:top w:val="nil"/>
              <w:left w:val="nil"/>
              <w:bottom w:val="nil"/>
              <w:right w:val="nil"/>
            </w:tcBorders>
            <w:shd w:val="clear" w:color="auto" w:fill="F2F2F2" w:themeFill="background1" w:themeFillShade="F2"/>
            <w:noWrap/>
            <w:vAlign w:val="center"/>
          </w:tcPr>
          <w:p w14:paraId="65B26FC3" w14:textId="77777777" w:rsidR="002A39E8" w:rsidRPr="0087712A" w:rsidRDefault="00A03F7C" w:rsidP="00A03F7C">
            <w:pPr>
              <w:jc w:val="right"/>
              <w:rPr>
                <w:rFonts w:ascii="Calibri" w:eastAsia="Calibri" w:hAnsi="Calibri" w:cs="Calibri"/>
                <w:b/>
                <w:bCs/>
                <w:color w:val="01B1D7"/>
                <w:sz w:val="21"/>
                <w:szCs w:val="21"/>
                <w:lang w:val="en-GB" w:eastAsia="en-GB"/>
              </w:rPr>
            </w:pPr>
            <w:r w:rsidRPr="0087712A">
              <w:rPr>
                <w:rFonts w:ascii="Calibri" w:eastAsia="Calibri" w:hAnsi="Calibri" w:cs="Calibri"/>
                <w:b/>
                <w:bCs/>
                <w:color w:val="01B1D7"/>
                <w:sz w:val="21"/>
                <w:szCs w:val="21"/>
                <w:lang w:val="en-GB" w:eastAsia="en-GB"/>
              </w:rPr>
              <w:t xml:space="preserve">FY </w:t>
            </w:r>
          </w:p>
          <w:p w14:paraId="49D9570B" w14:textId="1E34ABE0" w:rsidR="00A03F7C" w:rsidRPr="0087712A" w:rsidRDefault="00A03F7C" w:rsidP="00A03F7C">
            <w:pPr>
              <w:jc w:val="right"/>
              <w:rPr>
                <w:rFonts w:ascii="Calibri" w:eastAsia="Calibri" w:hAnsi="Calibri" w:cs="Calibri"/>
                <w:b/>
                <w:bCs/>
                <w:color w:val="01B1D7"/>
                <w:sz w:val="21"/>
                <w:szCs w:val="21"/>
                <w:lang w:val="en-GB" w:eastAsia="en-GB"/>
              </w:rPr>
            </w:pPr>
            <w:r w:rsidRPr="0087712A">
              <w:rPr>
                <w:rFonts w:ascii="Calibri" w:eastAsia="Calibri" w:hAnsi="Calibri" w:cs="Calibri"/>
                <w:b/>
                <w:bCs/>
                <w:color w:val="01B1D7"/>
                <w:sz w:val="21"/>
                <w:szCs w:val="21"/>
                <w:lang w:val="en-GB" w:eastAsia="en-GB"/>
              </w:rPr>
              <w:t>2022</w:t>
            </w:r>
          </w:p>
        </w:tc>
        <w:tc>
          <w:tcPr>
            <w:tcW w:w="1259" w:type="dxa"/>
            <w:tcBorders>
              <w:top w:val="nil"/>
              <w:left w:val="nil"/>
              <w:bottom w:val="nil"/>
              <w:right w:val="nil"/>
            </w:tcBorders>
            <w:shd w:val="clear" w:color="auto" w:fill="auto"/>
            <w:noWrap/>
            <w:vAlign w:val="center"/>
            <w:hideMark/>
          </w:tcPr>
          <w:p w14:paraId="21FEA9A8" w14:textId="77777777" w:rsidR="002A39E8" w:rsidRPr="0087712A" w:rsidRDefault="00A03F7C" w:rsidP="00A03F7C">
            <w:pPr>
              <w:jc w:val="right"/>
              <w:rPr>
                <w:rFonts w:ascii="Calibri" w:eastAsia="Calibri" w:hAnsi="Calibri" w:cs="Calibri"/>
                <w:b/>
                <w:bCs/>
                <w:color w:val="00183D"/>
                <w:sz w:val="21"/>
                <w:szCs w:val="21"/>
                <w:lang w:val="en-GB" w:eastAsia="en-GB"/>
              </w:rPr>
            </w:pPr>
            <w:r w:rsidRPr="0087712A">
              <w:rPr>
                <w:rFonts w:ascii="Calibri" w:eastAsia="Calibri" w:hAnsi="Calibri" w:cs="Calibri"/>
                <w:b/>
                <w:bCs/>
                <w:color w:val="00183D"/>
                <w:sz w:val="21"/>
                <w:szCs w:val="21"/>
                <w:lang w:val="en-GB" w:eastAsia="en-GB"/>
              </w:rPr>
              <w:t xml:space="preserve">FY </w:t>
            </w:r>
          </w:p>
          <w:p w14:paraId="31ED19DD" w14:textId="09767F4F" w:rsidR="00A03F7C" w:rsidRPr="0087712A" w:rsidRDefault="00A03F7C" w:rsidP="00A03F7C">
            <w:pPr>
              <w:jc w:val="right"/>
              <w:rPr>
                <w:rFonts w:ascii="Calibri" w:eastAsia="Calibri" w:hAnsi="Calibri" w:cs="Calibri"/>
                <w:b/>
                <w:bCs/>
                <w:color w:val="00183D"/>
                <w:sz w:val="21"/>
                <w:szCs w:val="21"/>
                <w:lang w:val="en-GB" w:eastAsia="en-GB"/>
              </w:rPr>
            </w:pPr>
            <w:r w:rsidRPr="0087712A">
              <w:rPr>
                <w:rFonts w:ascii="Calibri" w:eastAsia="Calibri" w:hAnsi="Calibri" w:cs="Calibri"/>
                <w:b/>
                <w:bCs/>
                <w:color w:val="00183D"/>
                <w:sz w:val="21"/>
                <w:szCs w:val="21"/>
                <w:lang w:val="en-GB" w:eastAsia="en-GB"/>
              </w:rPr>
              <w:t>2021</w:t>
            </w:r>
          </w:p>
        </w:tc>
        <w:tc>
          <w:tcPr>
            <w:tcW w:w="1101" w:type="dxa"/>
            <w:tcBorders>
              <w:top w:val="nil"/>
              <w:left w:val="nil"/>
              <w:bottom w:val="nil"/>
              <w:right w:val="nil"/>
            </w:tcBorders>
            <w:shd w:val="clear" w:color="auto" w:fill="auto"/>
            <w:noWrap/>
            <w:vAlign w:val="center"/>
            <w:hideMark/>
          </w:tcPr>
          <w:p w14:paraId="634A4D58" w14:textId="77777777" w:rsidR="002A39E8" w:rsidRPr="0087712A" w:rsidRDefault="00A03F7C" w:rsidP="00A03F7C">
            <w:pPr>
              <w:jc w:val="right"/>
              <w:rPr>
                <w:rFonts w:ascii="Calibri" w:eastAsia="Calibri" w:hAnsi="Calibri" w:cs="Calibri"/>
                <w:b/>
                <w:bCs/>
                <w:color w:val="00183D"/>
                <w:sz w:val="21"/>
                <w:szCs w:val="21"/>
                <w:lang w:val="en-GB" w:eastAsia="en-GB"/>
              </w:rPr>
            </w:pPr>
            <w:r w:rsidRPr="0087712A">
              <w:rPr>
                <w:rFonts w:ascii="Calibri" w:eastAsia="Calibri" w:hAnsi="Calibri" w:cs="Calibri"/>
                <w:b/>
                <w:bCs/>
                <w:color w:val="00183D"/>
                <w:sz w:val="21"/>
                <w:szCs w:val="21"/>
                <w:lang w:val="en-GB" w:eastAsia="en-GB"/>
              </w:rPr>
              <w:t>%</w:t>
            </w:r>
          </w:p>
          <w:p w14:paraId="7005F718" w14:textId="25F83A62" w:rsidR="00A03F7C" w:rsidRPr="0087712A" w:rsidRDefault="002A39E8" w:rsidP="00A03F7C">
            <w:pPr>
              <w:jc w:val="right"/>
              <w:rPr>
                <w:rFonts w:ascii="Calibri" w:eastAsia="Calibri" w:hAnsi="Calibri" w:cs="Calibri"/>
                <w:b/>
                <w:bCs/>
                <w:color w:val="00183D"/>
                <w:sz w:val="21"/>
                <w:szCs w:val="21"/>
                <w:lang w:val="en-GB" w:eastAsia="en-GB"/>
              </w:rPr>
            </w:pPr>
            <w:r w:rsidRPr="0087712A">
              <w:rPr>
                <w:rFonts w:ascii="Calibri" w:eastAsia="Calibri" w:hAnsi="Calibri" w:cs="Calibri"/>
                <w:b/>
                <w:bCs/>
                <w:color w:val="00183D"/>
                <w:sz w:val="21"/>
                <w:szCs w:val="21"/>
                <w:lang w:val="en-GB" w:eastAsia="en-GB"/>
              </w:rPr>
              <w:t>Y</w:t>
            </w:r>
            <w:r w:rsidR="00A03F7C" w:rsidRPr="0087712A">
              <w:rPr>
                <w:rFonts w:ascii="Calibri" w:eastAsia="Calibri" w:hAnsi="Calibri" w:cs="Calibri"/>
                <w:b/>
                <w:bCs/>
                <w:color w:val="00183D"/>
                <w:sz w:val="21"/>
                <w:szCs w:val="21"/>
                <w:lang w:val="en-GB" w:eastAsia="en-GB"/>
              </w:rPr>
              <w:t>o</w:t>
            </w:r>
            <w:r w:rsidRPr="0087712A">
              <w:rPr>
                <w:rFonts w:ascii="Calibri" w:eastAsia="Calibri" w:hAnsi="Calibri" w:cs="Calibri"/>
                <w:b/>
                <w:bCs/>
                <w:color w:val="00183D"/>
                <w:sz w:val="21"/>
                <w:szCs w:val="21"/>
                <w:lang w:val="en-GB" w:eastAsia="en-GB"/>
              </w:rPr>
              <w:t>Y</w:t>
            </w:r>
          </w:p>
        </w:tc>
      </w:tr>
      <w:tr w:rsidR="00A03F7C" w:rsidRPr="0087712A" w14:paraId="7EDFA2F5" w14:textId="77777777" w:rsidTr="00AB7801">
        <w:trPr>
          <w:trHeight w:val="422"/>
        </w:trPr>
        <w:tc>
          <w:tcPr>
            <w:tcW w:w="3549" w:type="dxa"/>
            <w:tcBorders>
              <w:top w:val="single" w:sz="4" w:space="0" w:color="auto"/>
              <w:left w:val="nil"/>
              <w:bottom w:val="single" w:sz="4" w:space="0" w:color="auto"/>
              <w:right w:val="nil"/>
            </w:tcBorders>
            <w:shd w:val="clear" w:color="auto" w:fill="auto"/>
            <w:noWrap/>
            <w:vAlign w:val="center"/>
            <w:hideMark/>
          </w:tcPr>
          <w:p w14:paraId="0847DF26" w14:textId="078FE2A2" w:rsidR="00A03F7C" w:rsidRPr="0087712A" w:rsidRDefault="00A03F7C" w:rsidP="00A03F7C">
            <w:pPr>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n-GB" w:eastAsia="en-GB"/>
              </w:rPr>
              <w:t>Cement</w:t>
            </w:r>
            <w:r w:rsidR="00AB7801" w:rsidRPr="0087712A">
              <w:rPr>
                <w:rFonts w:ascii="Calibri" w:eastAsia="Calibri" w:hAnsi="Calibri" w:cs="Calibri"/>
                <w:color w:val="00183D"/>
                <w:sz w:val="21"/>
                <w:szCs w:val="21"/>
                <w:lang w:val="en-GB" w:eastAsia="en-GB"/>
              </w:rPr>
              <w:t xml:space="preserve"> - domestic </w:t>
            </w:r>
            <w:r w:rsidRPr="0087712A">
              <w:rPr>
                <w:rFonts w:ascii="Calibri" w:eastAsia="Calibri" w:hAnsi="Calibri" w:cs="Calibri"/>
                <w:color w:val="00183D"/>
                <w:sz w:val="21"/>
                <w:szCs w:val="21"/>
                <w:lang w:val="en-GB" w:eastAsia="en-GB"/>
              </w:rPr>
              <w:t>(metric tons)</w:t>
            </w:r>
            <w:r w:rsidRPr="0087712A">
              <w:rPr>
                <w:rFonts w:ascii="Calibri" w:eastAsia="Calibri" w:hAnsi="Calibri" w:cs="Calibri"/>
                <w:color w:val="00183D"/>
                <w:sz w:val="21"/>
                <w:szCs w:val="21"/>
                <w:vertAlign w:val="superscript"/>
                <w:lang w:val="en-GB" w:eastAsia="en-GB"/>
              </w:rPr>
              <w:t xml:space="preserve"> (1)</w:t>
            </w:r>
          </w:p>
        </w:tc>
        <w:tc>
          <w:tcPr>
            <w:tcW w:w="1350" w:type="dxa"/>
            <w:tcBorders>
              <w:top w:val="single" w:sz="4" w:space="0" w:color="auto"/>
              <w:left w:val="nil"/>
              <w:bottom w:val="single" w:sz="4" w:space="0" w:color="auto"/>
              <w:right w:val="nil"/>
            </w:tcBorders>
            <w:shd w:val="clear" w:color="auto" w:fill="F2F2F2" w:themeFill="background1" w:themeFillShade="F2"/>
            <w:noWrap/>
            <w:vAlign w:val="center"/>
          </w:tcPr>
          <w:p w14:paraId="4848619D" w14:textId="3352281B" w:rsidR="00A03F7C" w:rsidRPr="0087712A" w:rsidRDefault="00A03F7C" w:rsidP="00A03F7C">
            <w:pPr>
              <w:jc w:val="right"/>
              <w:rPr>
                <w:rFonts w:ascii="Calibri" w:eastAsia="Calibri" w:hAnsi="Calibri" w:cs="Calibri"/>
                <w:color w:val="00183D"/>
                <w:sz w:val="21"/>
                <w:szCs w:val="21"/>
                <w:lang w:eastAsia="en-GB"/>
              </w:rPr>
            </w:pPr>
            <w:r w:rsidRPr="0087712A">
              <w:rPr>
                <w:rFonts w:ascii="Calibri" w:eastAsia="Calibri" w:hAnsi="Calibri" w:cs="Calibri"/>
                <w:color w:val="00183D"/>
                <w:sz w:val="21"/>
                <w:szCs w:val="21"/>
                <w:lang w:val="el-GR" w:eastAsia="en-GB"/>
              </w:rPr>
              <w:t>17.</w:t>
            </w:r>
            <w:r w:rsidR="002A39E8" w:rsidRPr="0087712A">
              <w:rPr>
                <w:rFonts w:ascii="Calibri" w:eastAsia="Calibri" w:hAnsi="Calibri" w:cs="Calibri"/>
                <w:color w:val="00183D"/>
                <w:sz w:val="21"/>
                <w:szCs w:val="21"/>
                <w:lang w:eastAsia="en-GB"/>
              </w:rPr>
              <w:t>2</w:t>
            </w:r>
          </w:p>
        </w:tc>
        <w:tc>
          <w:tcPr>
            <w:tcW w:w="1259" w:type="dxa"/>
            <w:tcBorders>
              <w:top w:val="single" w:sz="4" w:space="0" w:color="auto"/>
              <w:left w:val="nil"/>
              <w:bottom w:val="single" w:sz="4" w:space="0" w:color="auto"/>
              <w:right w:val="nil"/>
            </w:tcBorders>
            <w:shd w:val="clear" w:color="auto" w:fill="auto"/>
            <w:noWrap/>
            <w:vAlign w:val="center"/>
            <w:hideMark/>
          </w:tcPr>
          <w:p w14:paraId="1BD58F57" w14:textId="68F5A5EC" w:rsidR="00A03F7C" w:rsidRPr="0087712A" w:rsidRDefault="00A03F7C" w:rsidP="00A03F7C">
            <w:pPr>
              <w:jc w:val="right"/>
              <w:rPr>
                <w:rFonts w:ascii="Calibri" w:eastAsia="Calibri" w:hAnsi="Calibri" w:cs="Calibri"/>
                <w:color w:val="00183D"/>
                <w:sz w:val="21"/>
                <w:szCs w:val="21"/>
                <w:lang w:eastAsia="en-GB"/>
              </w:rPr>
            </w:pPr>
            <w:r w:rsidRPr="0087712A">
              <w:rPr>
                <w:rFonts w:ascii="Calibri" w:eastAsia="Calibri" w:hAnsi="Calibri" w:cs="Calibri"/>
                <w:color w:val="00183D"/>
                <w:sz w:val="21"/>
                <w:szCs w:val="21"/>
                <w:lang w:val="en-GB" w:eastAsia="en-GB"/>
              </w:rPr>
              <w:t>1</w:t>
            </w:r>
            <w:r w:rsidR="002A39E8" w:rsidRPr="0087712A">
              <w:rPr>
                <w:rFonts w:ascii="Calibri" w:eastAsia="Calibri" w:hAnsi="Calibri" w:cs="Calibri"/>
                <w:color w:val="00183D"/>
                <w:sz w:val="21"/>
                <w:szCs w:val="21"/>
                <w:lang w:val="en-GB" w:eastAsia="en-GB"/>
              </w:rPr>
              <w:t>6</w:t>
            </w:r>
            <w:r w:rsidRPr="0087712A">
              <w:rPr>
                <w:rFonts w:ascii="Calibri" w:eastAsia="Calibri" w:hAnsi="Calibri" w:cs="Calibri"/>
                <w:color w:val="00183D"/>
                <w:sz w:val="21"/>
                <w:szCs w:val="21"/>
                <w:lang w:val="el-GR" w:eastAsia="en-GB"/>
              </w:rPr>
              <w:t>.</w:t>
            </w:r>
            <w:r w:rsidR="002A39E8" w:rsidRPr="0087712A">
              <w:rPr>
                <w:rFonts w:ascii="Calibri" w:eastAsia="Calibri" w:hAnsi="Calibri" w:cs="Calibri"/>
                <w:color w:val="00183D"/>
                <w:sz w:val="21"/>
                <w:szCs w:val="21"/>
                <w:lang w:eastAsia="en-GB"/>
              </w:rPr>
              <w:t>8</w:t>
            </w:r>
          </w:p>
        </w:tc>
        <w:tc>
          <w:tcPr>
            <w:tcW w:w="1101" w:type="dxa"/>
            <w:tcBorders>
              <w:top w:val="single" w:sz="4" w:space="0" w:color="auto"/>
              <w:left w:val="nil"/>
              <w:bottom w:val="single" w:sz="4" w:space="0" w:color="auto"/>
              <w:right w:val="nil"/>
            </w:tcBorders>
            <w:shd w:val="clear" w:color="auto" w:fill="auto"/>
            <w:noWrap/>
            <w:vAlign w:val="center"/>
            <w:hideMark/>
          </w:tcPr>
          <w:p w14:paraId="6AE8C522" w14:textId="6A8F25D8" w:rsidR="00A03F7C" w:rsidRPr="0087712A" w:rsidRDefault="002A39E8" w:rsidP="00A03F7C">
            <w:pPr>
              <w:jc w:val="right"/>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n-GB" w:eastAsia="en-GB"/>
              </w:rPr>
              <w:t>+2</w:t>
            </w:r>
            <w:r w:rsidR="00A03F7C" w:rsidRPr="0087712A">
              <w:rPr>
                <w:rFonts w:ascii="Calibri" w:eastAsia="Calibri" w:hAnsi="Calibri" w:cs="Calibri"/>
                <w:color w:val="00183D"/>
                <w:sz w:val="21"/>
                <w:szCs w:val="21"/>
                <w:lang w:val="en-GB" w:eastAsia="en-GB"/>
              </w:rPr>
              <w:t>%</w:t>
            </w:r>
          </w:p>
        </w:tc>
      </w:tr>
      <w:tr w:rsidR="00A03F7C" w:rsidRPr="0087712A" w14:paraId="06401D04" w14:textId="77777777" w:rsidTr="00AB7801">
        <w:trPr>
          <w:trHeight w:val="422"/>
        </w:trPr>
        <w:tc>
          <w:tcPr>
            <w:tcW w:w="3549" w:type="dxa"/>
            <w:tcBorders>
              <w:top w:val="nil"/>
              <w:left w:val="nil"/>
              <w:bottom w:val="single" w:sz="4" w:space="0" w:color="auto"/>
              <w:right w:val="nil"/>
            </w:tcBorders>
            <w:shd w:val="clear" w:color="auto" w:fill="auto"/>
            <w:noWrap/>
            <w:vAlign w:val="center"/>
            <w:hideMark/>
          </w:tcPr>
          <w:p w14:paraId="647B89B6" w14:textId="03C4F9CC" w:rsidR="00A03F7C" w:rsidRPr="0087712A" w:rsidRDefault="00A03F7C" w:rsidP="00A03F7C">
            <w:pPr>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n-GB" w:eastAsia="en-GB"/>
              </w:rPr>
              <w:t>Ready-mix concrete (m</w:t>
            </w:r>
            <w:r w:rsidRPr="0087712A">
              <w:rPr>
                <w:rFonts w:ascii="Calibri" w:eastAsia="Calibri" w:hAnsi="Calibri" w:cs="Calibri"/>
                <w:color w:val="00183D"/>
                <w:sz w:val="21"/>
                <w:szCs w:val="21"/>
                <w:vertAlign w:val="superscript"/>
                <w:lang w:val="en-GB" w:eastAsia="en-GB"/>
              </w:rPr>
              <w:t>3</w:t>
            </w:r>
            <w:r w:rsidRPr="0087712A">
              <w:rPr>
                <w:rFonts w:ascii="Calibri" w:eastAsia="Calibri" w:hAnsi="Calibri" w:cs="Calibri"/>
                <w:color w:val="00183D"/>
                <w:sz w:val="21"/>
                <w:szCs w:val="21"/>
                <w:lang w:val="en-GB" w:eastAsia="en-GB"/>
              </w:rPr>
              <w:t>)</w:t>
            </w:r>
            <w:r w:rsidRPr="0087712A">
              <w:rPr>
                <w:rFonts w:ascii="Calibri" w:eastAsia="Calibri" w:hAnsi="Calibri" w:cs="Calibri"/>
                <w:color w:val="00183D"/>
                <w:sz w:val="21"/>
                <w:szCs w:val="21"/>
                <w:vertAlign w:val="superscript"/>
                <w:lang w:val="en-GB" w:eastAsia="en-GB"/>
              </w:rPr>
              <w:t xml:space="preserve"> </w:t>
            </w:r>
          </w:p>
        </w:tc>
        <w:tc>
          <w:tcPr>
            <w:tcW w:w="1350" w:type="dxa"/>
            <w:tcBorders>
              <w:top w:val="nil"/>
              <w:left w:val="nil"/>
              <w:bottom w:val="single" w:sz="4" w:space="0" w:color="auto"/>
              <w:right w:val="nil"/>
            </w:tcBorders>
            <w:shd w:val="clear" w:color="auto" w:fill="F2F2F2" w:themeFill="background1" w:themeFillShade="F2"/>
            <w:noWrap/>
            <w:vAlign w:val="center"/>
          </w:tcPr>
          <w:p w14:paraId="725EFCEE" w14:textId="4B0EF011" w:rsidR="00A03F7C" w:rsidRPr="0087712A" w:rsidRDefault="00A03F7C" w:rsidP="00A03F7C">
            <w:pPr>
              <w:jc w:val="right"/>
              <w:rPr>
                <w:rFonts w:ascii="Calibri" w:eastAsia="Calibri" w:hAnsi="Calibri" w:cs="Calibri"/>
                <w:color w:val="00183D"/>
                <w:sz w:val="21"/>
                <w:szCs w:val="21"/>
                <w:lang w:val="el-GR" w:eastAsia="en-GB"/>
              </w:rPr>
            </w:pPr>
            <w:r w:rsidRPr="0087712A">
              <w:rPr>
                <w:rFonts w:ascii="Calibri" w:eastAsia="Calibri" w:hAnsi="Calibri" w:cs="Calibri"/>
                <w:color w:val="00183D"/>
                <w:sz w:val="21"/>
                <w:szCs w:val="21"/>
                <w:lang w:val="en-GB" w:eastAsia="en-GB"/>
              </w:rPr>
              <w:t>5.</w:t>
            </w:r>
            <w:r w:rsidRPr="0087712A">
              <w:rPr>
                <w:rFonts w:ascii="Calibri" w:eastAsia="Calibri" w:hAnsi="Calibri" w:cs="Calibri"/>
                <w:color w:val="00183D"/>
                <w:sz w:val="21"/>
                <w:szCs w:val="21"/>
                <w:lang w:val="el-GR" w:eastAsia="en-GB"/>
              </w:rPr>
              <w:t>6</w:t>
            </w:r>
          </w:p>
        </w:tc>
        <w:tc>
          <w:tcPr>
            <w:tcW w:w="1259" w:type="dxa"/>
            <w:tcBorders>
              <w:top w:val="nil"/>
              <w:left w:val="nil"/>
              <w:bottom w:val="single" w:sz="4" w:space="0" w:color="auto"/>
              <w:right w:val="nil"/>
            </w:tcBorders>
            <w:shd w:val="clear" w:color="auto" w:fill="auto"/>
            <w:noWrap/>
            <w:vAlign w:val="center"/>
            <w:hideMark/>
          </w:tcPr>
          <w:p w14:paraId="411A334B" w14:textId="293567B3" w:rsidR="00A03F7C" w:rsidRPr="0087712A" w:rsidRDefault="00A03F7C" w:rsidP="00A03F7C">
            <w:pPr>
              <w:jc w:val="right"/>
              <w:rPr>
                <w:rFonts w:ascii="Calibri" w:eastAsia="Calibri" w:hAnsi="Calibri" w:cs="Calibri"/>
                <w:color w:val="00183D"/>
                <w:sz w:val="21"/>
                <w:szCs w:val="21"/>
                <w:lang w:val="el-GR" w:eastAsia="en-GB"/>
              </w:rPr>
            </w:pPr>
            <w:r w:rsidRPr="0087712A">
              <w:rPr>
                <w:rFonts w:ascii="Calibri" w:eastAsia="Calibri" w:hAnsi="Calibri" w:cs="Calibri"/>
                <w:color w:val="00183D"/>
                <w:sz w:val="21"/>
                <w:szCs w:val="21"/>
                <w:lang w:val="en-GB" w:eastAsia="en-GB"/>
              </w:rPr>
              <w:t>5.</w:t>
            </w:r>
            <w:r w:rsidRPr="0087712A">
              <w:rPr>
                <w:rFonts w:ascii="Calibri" w:eastAsia="Calibri" w:hAnsi="Calibri" w:cs="Calibri"/>
                <w:color w:val="00183D"/>
                <w:sz w:val="21"/>
                <w:szCs w:val="21"/>
                <w:lang w:val="el-GR" w:eastAsia="en-GB"/>
              </w:rPr>
              <w:t>5</w:t>
            </w:r>
          </w:p>
        </w:tc>
        <w:tc>
          <w:tcPr>
            <w:tcW w:w="1101" w:type="dxa"/>
            <w:tcBorders>
              <w:top w:val="nil"/>
              <w:left w:val="nil"/>
              <w:bottom w:val="single" w:sz="4" w:space="0" w:color="auto"/>
              <w:right w:val="nil"/>
            </w:tcBorders>
            <w:shd w:val="clear" w:color="auto" w:fill="auto"/>
            <w:noWrap/>
            <w:vAlign w:val="center"/>
            <w:hideMark/>
          </w:tcPr>
          <w:p w14:paraId="252E8F67" w14:textId="2D3D24DA" w:rsidR="00A03F7C" w:rsidRPr="0087712A" w:rsidRDefault="00D52B74" w:rsidP="00A03F7C">
            <w:pPr>
              <w:jc w:val="right"/>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l-GR" w:eastAsia="en-GB"/>
              </w:rPr>
              <w:t>+</w:t>
            </w:r>
            <w:r w:rsidR="00A03F7C" w:rsidRPr="0087712A">
              <w:rPr>
                <w:rFonts w:ascii="Calibri" w:eastAsia="Calibri" w:hAnsi="Calibri" w:cs="Calibri"/>
                <w:color w:val="00183D"/>
                <w:sz w:val="21"/>
                <w:szCs w:val="21"/>
                <w:lang w:val="en-GB" w:eastAsia="en-GB"/>
              </w:rPr>
              <w:t>2%</w:t>
            </w:r>
          </w:p>
        </w:tc>
      </w:tr>
      <w:tr w:rsidR="00A03F7C" w:rsidRPr="0087712A" w14:paraId="1B5D3A1F" w14:textId="77777777" w:rsidTr="00AB7801">
        <w:trPr>
          <w:trHeight w:val="422"/>
        </w:trPr>
        <w:tc>
          <w:tcPr>
            <w:tcW w:w="3549" w:type="dxa"/>
            <w:tcBorders>
              <w:top w:val="nil"/>
              <w:left w:val="nil"/>
              <w:bottom w:val="single" w:sz="4" w:space="0" w:color="auto"/>
              <w:right w:val="nil"/>
            </w:tcBorders>
            <w:shd w:val="clear" w:color="auto" w:fill="auto"/>
            <w:noWrap/>
            <w:vAlign w:val="center"/>
            <w:hideMark/>
          </w:tcPr>
          <w:p w14:paraId="64A5D793" w14:textId="77777777" w:rsidR="00A03F7C" w:rsidRPr="0087712A" w:rsidRDefault="00A03F7C" w:rsidP="00A03F7C">
            <w:pPr>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n-GB" w:eastAsia="en-GB"/>
              </w:rPr>
              <w:t>Aggregates (metric tons)</w:t>
            </w:r>
          </w:p>
        </w:tc>
        <w:tc>
          <w:tcPr>
            <w:tcW w:w="1350" w:type="dxa"/>
            <w:tcBorders>
              <w:top w:val="nil"/>
              <w:left w:val="nil"/>
              <w:bottom w:val="single" w:sz="4" w:space="0" w:color="auto"/>
              <w:right w:val="nil"/>
            </w:tcBorders>
            <w:shd w:val="clear" w:color="auto" w:fill="F2F2F2" w:themeFill="background1" w:themeFillShade="F2"/>
            <w:noWrap/>
            <w:vAlign w:val="center"/>
          </w:tcPr>
          <w:p w14:paraId="494C1A4A" w14:textId="1406A36E" w:rsidR="00A03F7C" w:rsidRPr="0087712A" w:rsidRDefault="00A03F7C" w:rsidP="00A03F7C">
            <w:pPr>
              <w:jc w:val="right"/>
              <w:rPr>
                <w:rFonts w:ascii="Calibri" w:eastAsia="Calibri" w:hAnsi="Calibri" w:cs="Calibri"/>
                <w:color w:val="00183D"/>
                <w:sz w:val="21"/>
                <w:szCs w:val="21"/>
                <w:lang w:val="el-GR" w:eastAsia="en-GB"/>
              </w:rPr>
            </w:pPr>
            <w:r w:rsidRPr="0087712A">
              <w:rPr>
                <w:rFonts w:ascii="Calibri" w:eastAsia="Calibri" w:hAnsi="Calibri" w:cs="Calibri"/>
                <w:color w:val="00183D"/>
                <w:sz w:val="21"/>
                <w:szCs w:val="21"/>
                <w:lang w:val="el-GR" w:eastAsia="en-GB"/>
              </w:rPr>
              <w:t>19.1</w:t>
            </w:r>
          </w:p>
        </w:tc>
        <w:tc>
          <w:tcPr>
            <w:tcW w:w="1259" w:type="dxa"/>
            <w:tcBorders>
              <w:top w:val="nil"/>
              <w:left w:val="nil"/>
              <w:bottom w:val="single" w:sz="4" w:space="0" w:color="auto"/>
              <w:right w:val="nil"/>
            </w:tcBorders>
            <w:shd w:val="clear" w:color="auto" w:fill="auto"/>
            <w:noWrap/>
            <w:vAlign w:val="center"/>
            <w:hideMark/>
          </w:tcPr>
          <w:p w14:paraId="07995457" w14:textId="52A8C246" w:rsidR="00A03F7C" w:rsidRPr="0087712A" w:rsidRDefault="00A03F7C" w:rsidP="00A03F7C">
            <w:pPr>
              <w:jc w:val="right"/>
              <w:rPr>
                <w:rFonts w:ascii="Calibri" w:eastAsia="Calibri" w:hAnsi="Calibri" w:cs="Calibri"/>
                <w:color w:val="00183D"/>
                <w:sz w:val="21"/>
                <w:szCs w:val="21"/>
                <w:lang w:val="el-GR" w:eastAsia="en-GB"/>
              </w:rPr>
            </w:pPr>
            <w:r w:rsidRPr="0087712A">
              <w:rPr>
                <w:rFonts w:ascii="Calibri" w:eastAsia="Calibri" w:hAnsi="Calibri" w:cs="Calibri"/>
                <w:color w:val="00183D"/>
                <w:sz w:val="21"/>
                <w:szCs w:val="21"/>
                <w:lang w:val="en-GB" w:eastAsia="en-GB"/>
              </w:rPr>
              <w:t>20</w:t>
            </w:r>
            <w:r w:rsidRPr="0087712A">
              <w:rPr>
                <w:rFonts w:ascii="Calibri" w:eastAsia="Calibri" w:hAnsi="Calibri" w:cs="Calibri"/>
                <w:color w:val="00183D"/>
                <w:sz w:val="21"/>
                <w:szCs w:val="21"/>
                <w:lang w:val="el-GR" w:eastAsia="en-GB"/>
              </w:rPr>
              <w:t>.2</w:t>
            </w:r>
          </w:p>
        </w:tc>
        <w:tc>
          <w:tcPr>
            <w:tcW w:w="1101" w:type="dxa"/>
            <w:tcBorders>
              <w:top w:val="nil"/>
              <w:left w:val="nil"/>
              <w:bottom w:val="single" w:sz="4" w:space="0" w:color="auto"/>
              <w:right w:val="nil"/>
            </w:tcBorders>
            <w:shd w:val="clear" w:color="auto" w:fill="auto"/>
            <w:noWrap/>
            <w:vAlign w:val="center"/>
            <w:hideMark/>
          </w:tcPr>
          <w:p w14:paraId="20453DB6" w14:textId="4CCE9BD5" w:rsidR="00A03F7C" w:rsidRPr="0087712A" w:rsidRDefault="00D52B74" w:rsidP="00A03F7C">
            <w:pPr>
              <w:jc w:val="right"/>
              <w:rPr>
                <w:rFonts w:ascii="Calibri" w:eastAsia="Calibri" w:hAnsi="Calibri" w:cs="Calibri"/>
                <w:color w:val="00183D"/>
                <w:sz w:val="21"/>
                <w:szCs w:val="21"/>
                <w:lang w:val="en-GB" w:eastAsia="en-GB"/>
              </w:rPr>
            </w:pPr>
            <w:r w:rsidRPr="0087712A">
              <w:rPr>
                <w:rFonts w:ascii="Calibri" w:eastAsia="Calibri" w:hAnsi="Calibri" w:cs="Calibri"/>
                <w:color w:val="00183D"/>
                <w:sz w:val="21"/>
                <w:szCs w:val="21"/>
                <w:lang w:val="el-GR" w:eastAsia="en-GB"/>
              </w:rPr>
              <w:t>-5</w:t>
            </w:r>
            <w:r w:rsidR="00A03F7C" w:rsidRPr="0087712A">
              <w:rPr>
                <w:rFonts w:ascii="Calibri" w:eastAsia="Calibri" w:hAnsi="Calibri" w:cs="Calibri"/>
                <w:color w:val="00183D"/>
                <w:sz w:val="21"/>
                <w:szCs w:val="21"/>
                <w:lang w:val="en-GB" w:eastAsia="en-GB"/>
              </w:rPr>
              <w:t>%</w:t>
            </w:r>
          </w:p>
        </w:tc>
      </w:tr>
      <w:tr w:rsidR="00A03F7C" w:rsidRPr="0087712A" w14:paraId="1E44CFE3" w14:textId="77777777" w:rsidTr="00AB7801">
        <w:trPr>
          <w:trHeight w:val="563"/>
        </w:trPr>
        <w:tc>
          <w:tcPr>
            <w:tcW w:w="7260" w:type="dxa"/>
            <w:gridSpan w:val="4"/>
            <w:tcBorders>
              <w:top w:val="single" w:sz="4" w:space="0" w:color="auto"/>
              <w:left w:val="nil"/>
              <w:bottom w:val="nil"/>
              <w:right w:val="nil"/>
            </w:tcBorders>
            <w:shd w:val="clear" w:color="auto" w:fill="auto"/>
            <w:vAlign w:val="bottom"/>
            <w:hideMark/>
          </w:tcPr>
          <w:p w14:paraId="4C8064EA" w14:textId="77777777" w:rsidR="004A41CE" w:rsidRPr="0087712A" w:rsidRDefault="00A03F7C" w:rsidP="00A03F7C">
            <w:pPr>
              <w:rPr>
                <w:rFonts w:ascii="Calibri" w:hAnsi="Calibri" w:cs="Calibri"/>
                <w:i/>
                <w:iCs/>
                <w:color w:val="00183D"/>
                <w:sz w:val="14"/>
                <w:szCs w:val="14"/>
                <w:lang w:val="en-GB" w:eastAsia="en-GB"/>
              </w:rPr>
            </w:pPr>
            <w:r w:rsidRPr="0087712A">
              <w:rPr>
                <w:rFonts w:ascii="Calibri" w:eastAsia="Calibri" w:hAnsi="Calibri" w:cs="Calibri"/>
                <w:i/>
                <w:iCs/>
                <w:color w:val="00183D"/>
                <w:sz w:val="14"/>
                <w:szCs w:val="14"/>
                <w:lang w:val="en-GB" w:eastAsia="en-GB"/>
              </w:rPr>
              <w:t xml:space="preserve">(1) Cement sales </w:t>
            </w:r>
            <w:r w:rsidR="002A39E8" w:rsidRPr="0087712A">
              <w:rPr>
                <w:rFonts w:ascii="Calibri" w:eastAsia="Calibri" w:hAnsi="Calibri" w:cs="Calibri"/>
                <w:i/>
                <w:iCs/>
                <w:color w:val="00183D"/>
                <w:sz w:val="14"/>
                <w:szCs w:val="14"/>
                <w:lang w:val="en-GB" w:eastAsia="en-GB"/>
              </w:rPr>
              <w:t xml:space="preserve">in domestic markets </w:t>
            </w:r>
            <w:r w:rsidRPr="0087712A">
              <w:rPr>
                <w:rFonts w:ascii="Calibri" w:eastAsia="Calibri" w:hAnsi="Calibri" w:cs="Calibri"/>
                <w:i/>
                <w:iCs/>
                <w:color w:val="00183D"/>
                <w:sz w:val="14"/>
                <w:szCs w:val="14"/>
                <w:lang w:val="en-GB" w:eastAsia="en-GB"/>
              </w:rPr>
              <w:t>includ</w:t>
            </w:r>
            <w:r w:rsidR="002A39E8" w:rsidRPr="0087712A">
              <w:rPr>
                <w:rFonts w:ascii="Calibri" w:eastAsia="Calibri" w:hAnsi="Calibri" w:cs="Calibri"/>
                <w:i/>
                <w:iCs/>
                <w:color w:val="00183D"/>
                <w:sz w:val="14"/>
                <w:szCs w:val="14"/>
                <w:lang w:val="en-GB" w:eastAsia="en-GB"/>
              </w:rPr>
              <w:t>ing</w:t>
            </w:r>
            <w:r w:rsidRPr="0087712A">
              <w:rPr>
                <w:rFonts w:ascii="Calibri" w:eastAsia="Calibri" w:hAnsi="Calibri" w:cs="Calibri"/>
                <w:i/>
                <w:iCs/>
                <w:color w:val="00183D"/>
                <w:sz w:val="14"/>
                <w:szCs w:val="14"/>
                <w:lang w:val="en-GB" w:eastAsia="en-GB"/>
              </w:rPr>
              <w:t xml:space="preserve"> clinker and cementitious materials </w:t>
            </w:r>
          </w:p>
          <w:p w14:paraId="628B8A48" w14:textId="0C45EF68" w:rsidR="00A03F7C" w:rsidRPr="0087712A" w:rsidRDefault="00A03F7C" w:rsidP="00A03F7C">
            <w:pPr>
              <w:rPr>
                <w:rFonts w:ascii="Calibri" w:eastAsia="Calibri" w:hAnsi="Calibri" w:cs="Calibri"/>
                <w:i/>
                <w:iCs/>
                <w:color w:val="00183D"/>
                <w:sz w:val="14"/>
                <w:szCs w:val="14"/>
                <w:lang w:val="en-GB" w:eastAsia="en-GB"/>
              </w:rPr>
            </w:pPr>
            <w:r w:rsidRPr="0087712A">
              <w:rPr>
                <w:rFonts w:ascii="Calibri" w:eastAsia="Calibri" w:hAnsi="Calibri" w:cs="Calibri"/>
                <w:i/>
                <w:iCs/>
                <w:color w:val="00183D"/>
                <w:sz w:val="14"/>
                <w:szCs w:val="14"/>
                <w:lang w:val="en-GB" w:eastAsia="en-GB"/>
              </w:rPr>
              <w:t xml:space="preserve">Includes Brazil, does not include Associates </w:t>
            </w:r>
          </w:p>
        </w:tc>
      </w:tr>
    </w:tbl>
    <w:p w14:paraId="0B575373" w14:textId="77777777" w:rsidR="00A03F7C" w:rsidRPr="0087712A" w:rsidRDefault="00A03F7C" w:rsidP="00A03F7C">
      <w:pPr>
        <w:autoSpaceDE w:val="0"/>
        <w:autoSpaceDN w:val="0"/>
        <w:adjustRightInd w:val="0"/>
        <w:rPr>
          <w:rFonts w:ascii="Calibri" w:eastAsia="GretaSansPro-Bld" w:hAnsi="Calibri" w:cs="Calibri"/>
          <w:b/>
          <w:bCs/>
        </w:rPr>
      </w:pPr>
    </w:p>
    <w:p w14:paraId="302913B5" w14:textId="77777777" w:rsidR="00A03F7C" w:rsidRPr="0087712A" w:rsidRDefault="00A03F7C" w:rsidP="00A03F7C">
      <w:pPr>
        <w:autoSpaceDE w:val="0"/>
        <w:autoSpaceDN w:val="0"/>
        <w:adjustRightInd w:val="0"/>
        <w:rPr>
          <w:rFonts w:ascii="Calibri" w:eastAsia="GretaSansPro-Bld" w:hAnsi="Calibri" w:cs="Calibri"/>
          <w:b/>
          <w:bCs/>
        </w:rPr>
      </w:pPr>
    </w:p>
    <w:p w14:paraId="32E5D1AF" w14:textId="77777777" w:rsidR="00A03F7C" w:rsidRPr="0087712A" w:rsidRDefault="00A03F7C" w:rsidP="00A03F7C">
      <w:pPr>
        <w:autoSpaceDE w:val="0"/>
        <w:autoSpaceDN w:val="0"/>
        <w:adjustRightInd w:val="0"/>
        <w:rPr>
          <w:rFonts w:ascii="Calibri" w:eastAsia="GretaSansPro-Bld" w:hAnsi="Calibri" w:cs="Calibri"/>
          <w:b/>
          <w:bCs/>
        </w:rPr>
      </w:pPr>
    </w:p>
    <w:p w14:paraId="35A9F2A1" w14:textId="77777777" w:rsidR="00A03F7C" w:rsidRPr="0087712A" w:rsidRDefault="00A03F7C" w:rsidP="00A03F7C">
      <w:pPr>
        <w:autoSpaceDE w:val="0"/>
        <w:autoSpaceDN w:val="0"/>
        <w:adjustRightInd w:val="0"/>
        <w:rPr>
          <w:rFonts w:ascii="Calibri" w:eastAsia="GretaSansPro-Bld" w:hAnsi="Calibri" w:cs="Calibri"/>
          <w:b/>
          <w:bCs/>
        </w:rPr>
      </w:pPr>
    </w:p>
    <w:p w14:paraId="53CDCBFA" w14:textId="77777777" w:rsidR="00A03F7C" w:rsidRPr="0087712A" w:rsidRDefault="00A03F7C" w:rsidP="00A03F7C">
      <w:pPr>
        <w:autoSpaceDE w:val="0"/>
        <w:autoSpaceDN w:val="0"/>
        <w:adjustRightInd w:val="0"/>
        <w:rPr>
          <w:rFonts w:ascii="Calibri" w:eastAsia="GretaSansPro-Bld" w:hAnsi="Calibri" w:cs="Calibri"/>
          <w:b/>
          <w:bCs/>
        </w:rPr>
      </w:pPr>
    </w:p>
    <w:p w14:paraId="19170639" w14:textId="77777777" w:rsidR="00A03F7C" w:rsidRPr="0087712A" w:rsidRDefault="00A03F7C" w:rsidP="00A03F7C">
      <w:pPr>
        <w:autoSpaceDE w:val="0"/>
        <w:autoSpaceDN w:val="0"/>
        <w:adjustRightInd w:val="0"/>
        <w:rPr>
          <w:rFonts w:ascii="Calibri" w:eastAsia="GretaSansPro-Bld" w:hAnsi="Calibri" w:cs="Calibri"/>
          <w:b/>
          <w:bCs/>
        </w:rPr>
      </w:pPr>
    </w:p>
    <w:p w14:paraId="2356685D" w14:textId="77777777" w:rsidR="00A03F7C" w:rsidRPr="0087712A" w:rsidRDefault="00A03F7C" w:rsidP="00A03F7C">
      <w:pPr>
        <w:autoSpaceDE w:val="0"/>
        <w:autoSpaceDN w:val="0"/>
        <w:adjustRightInd w:val="0"/>
        <w:rPr>
          <w:rFonts w:ascii="Calibri" w:eastAsia="GretaSansPro-Bld" w:hAnsi="Calibri" w:cs="Calibri"/>
          <w:b/>
          <w:bCs/>
        </w:rPr>
      </w:pPr>
    </w:p>
    <w:p w14:paraId="44EE7F57" w14:textId="77777777" w:rsidR="00A03F7C" w:rsidRPr="0087712A" w:rsidRDefault="00A03F7C" w:rsidP="00A03F7C">
      <w:pPr>
        <w:autoSpaceDE w:val="0"/>
        <w:autoSpaceDN w:val="0"/>
        <w:adjustRightInd w:val="0"/>
        <w:rPr>
          <w:rFonts w:ascii="Calibri" w:eastAsia="GretaSansPro-Bld" w:hAnsi="Calibri" w:cs="Calibri"/>
          <w:b/>
          <w:bCs/>
        </w:rPr>
      </w:pPr>
    </w:p>
    <w:p w14:paraId="3E227E08" w14:textId="77777777" w:rsidR="00D11E97" w:rsidRPr="0087712A" w:rsidRDefault="00D11E97" w:rsidP="001B7F16">
      <w:pPr>
        <w:spacing w:after="200" w:line="276" w:lineRule="auto"/>
        <w:rPr>
          <w:rFonts w:ascii="Calibri" w:eastAsia="Calibri" w:hAnsi="Calibri" w:cs="Calibri"/>
          <w:b/>
          <w:bCs/>
          <w:color w:val="00183D"/>
          <w:sz w:val="28"/>
          <w:lang w:val="en-GB"/>
        </w:rPr>
      </w:pPr>
    </w:p>
    <w:p w14:paraId="7DC2C734" w14:textId="3698D9B4" w:rsidR="002942DA" w:rsidRPr="0087712A" w:rsidRDefault="002942DA" w:rsidP="002942DA">
      <w:pPr>
        <w:pStyle w:val="C"/>
        <w:spacing w:line="240" w:lineRule="auto"/>
        <w:jc w:val="both"/>
        <w:rPr>
          <w:rFonts w:eastAsia="Calibri" w:cs="Calibri"/>
          <w:b w:val="0"/>
          <w:sz w:val="27"/>
          <w:szCs w:val="27"/>
          <w:lang w:eastAsia="el-GR"/>
        </w:rPr>
      </w:pPr>
      <w:r w:rsidRPr="0087712A">
        <w:rPr>
          <w:rFonts w:cs="Calibri"/>
          <w:noProof/>
          <w:lang w:val="en-US"/>
        </w:rPr>
        <w:lastRenderedPageBreak/>
        <mc:AlternateContent>
          <mc:Choice Requires="wps">
            <w:drawing>
              <wp:anchor distT="0" distB="0" distL="114300" distR="114300" simplePos="0" relativeHeight="251658261" behindDoc="0" locked="0" layoutInCell="1" allowOverlap="1" wp14:anchorId="2A72F814" wp14:editId="17A3E738">
                <wp:simplePos x="0" y="0"/>
                <wp:positionH relativeFrom="column">
                  <wp:posOffset>-1634</wp:posOffset>
                </wp:positionH>
                <wp:positionV relativeFrom="paragraph">
                  <wp:posOffset>231428</wp:posOffset>
                </wp:positionV>
                <wp:extent cx="6116491" cy="1921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6116491" cy="1921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E64F2" id="Straight Connector 14"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2pt" to="481.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" strokecolor="#00183d" strokeweight=".25pt"/>
            </w:pict>
          </mc:Fallback>
        </mc:AlternateContent>
      </w:r>
      <w:r w:rsidRPr="0087712A">
        <w:rPr>
          <w:rFonts w:eastAsia="Calibri" w:cs="Calibri"/>
          <w:noProof/>
          <w:lang w:val="en-US" w:eastAsia="el-GR"/>
        </w:rPr>
        <w:t xml:space="preserve">Investments </w:t>
      </w:r>
      <w:r w:rsidR="00D10FB5">
        <w:rPr>
          <w:rFonts w:eastAsia="Calibri" w:cs="Calibri"/>
          <w:noProof/>
          <w:lang w:val="en-US" w:eastAsia="el-GR"/>
        </w:rPr>
        <w:t xml:space="preserve">&amp; </w:t>
      </w:r>
      <w:r w:rsidR="00D10FB5" w:rsidRPr="0087712A">
        <w:rPr>
          <w:rFonts w:eastAsia="Calibri" w:cs="Calibri"/>
          <w:noProof/>
          <w:lang w:val="en-US" w:eastAsia="el-GR"/>
        </w:rPr>
        <w:t>Financing</w:t>
      </w:r>
    </w:p>
    <w:p w14:paraId="5A6256BA" w14:textId="6AB8819B" w:rsidR="00596AD1" w:rsidRPr="00596AD1" w:rsidRDefault="00596AD1" w:rsidP="00596AD1">
      <w:pPr>
        <w:autoSpaceDE w:val="0"/>
        <w:autoSpaceDN w:val="0"/>
        <w:jc w:val="both"/>
        <w:rPr>
          <w:rFonts w:ascii="Calibri" w:eastAsia="Calibri" w:hAnsi="Calibri" w:cs="Calibri"/>
          <w:color w:val="00183D"/>
          <w:sz w:val="21"/>
          <w:szCs w:val="21"/>
        </w:rPr>
      </w:pPr>
      <w:r w:rsidRPr="00596AD1">
        <w:rPr>
          <w:rFonts w:ascii="Calibri" w:eastAsia="Calibri" w:hAnsi="Calibri" w:cs="Calibri"/>
          <w:color w:val="00183D"/>
          <w:sz w:val="21"/>
          <w:szCs w:val="21"/>
        </w:rPr>
        <w:t>Group capital expenditures during the year reached a 15-year high at €241.9m compared to €126.0m in 2021. Growth, energy cost efficiencies, logistics costs’ optimization</w:t>
      </w:r>
      <w:r w:rsidR="00CE7C7F">
        <w:rPr>
          <w:rFonts w:ascii="Calibri" w:eastAsia="Calibri" w:hAnsi="Calibri" w:cs="Calibri"/>
          <w:color w:val="00183D"/>
          <w:sz w:val="21"/>
          <w:szCs w:val="21"/>
        </w:rPr>
        <w:t>,</w:t>
      </w:r>
      <w:r w:rsidRPr="00596AD1">
        <w:rPr>
          <w:rFonts w:ascii="Calibri" w:eastAsia="Calibri" w:hAnsi="Calibri" w:cs="Calibri"/>
          <w:color w:val="00183D"/>
          <w:sz w:val="21"/>
          <w:szCs w:val="21"/>
        </w:rPr>
        <w:t xml:space="preserve"> and capacity debottlenecking </w:t>
      </w:r>
      <w:proofErr w:type="spellStart"/>
      <w:r w:rsidR="008A4749">
        <w:rPr>
          <w:rFonts w:ascii="Calibri" w:eastAsia="Calibri" w:hAnsi="Calibri" w:cs="Calibri"/>
          <w:color w:val="00183D"/>
          <w:sz w:val="21"/>
          <w:szCs w:val="21"/>
        </w:rPr>
        <w:t>CapE</w:t>
      </w:r>
      <w:r w:rsidR="001D2CCD">
        <w:rPr>
          <w:rFonts w:ascii="Calibri" w:eastAsia="Calibri" w:hAnsi="Calibri" w:cs="Calibri"/>
          <w:color w:val="00183D"/>
          <w:sz w:val="21"/>
          <w:szCs w:val="21"/>
        </w:rPr>
        <w:t>x</w:t>
      </w:r>
      <w:proofErr w:type="spellEnd"/>
      <w:r w:rsidR="008A4749" w:rsidRPr="00596AD1">
        <w:rPr>
          <w:rFonts w:ascii="Calibri" w:eastAsia="Calibri" w:hAnsi="Calibri" w:cs="Calibri"/>
          <w:color w:val="00183D"/>
          <w:sz w:val="21"/>
          <w:szCs w:val="21"/>
        </w:rPr>
        <w:t xml:space="preserve"> </w:t>
      </w:r>
      <w:r w:rsidRPr="00596AD1">
        <w:rPr>
          <w:rFonts w:ascii="Calibri" w:eastAsia="Calibri" w:hAnsi="Calibri" w:cs="Calibri"/>
          <w:color w:val="00183D"/>
          <w:sz w:val="21"/>
          <w:szCs w:val="21"/>
        </w:rPr>
        <w:t>projects</w:t>
      </w:r>
      <w:r w:rsidR="00274294">
        <w:rPr>
          <w:rFonts w:ascii="Calibri" w:eastAsia="Calibri" w:hAnsi="Calibri" w:cs="Calibri"/>
          <w:color w:val="00183D"/>
          <w:sz w:val="21"/>
          <w:szCs w:val="21"/>
        </w:rPr>
        <w:t>, mainly in US markets,</w:t>
      </w:r>
      <w:r w:rsidRPr="00596AD1">
        <w:rPr>
          <w:rFonts w:ascii="Calibri" w:eastAsia="Calibri" w:hAnsi="Calibri" w:cs="Calibri"/>
          <w:color w:val="00183D"/>
          <w:sz w:val="21"/>
          <w:szCs w:val="21"/>
        </w:rPr>
        <w:t xml:space="preserve"> increased during 2022. The Group invested in energy-saving projects, allowing higher use of lower-cost alternative fuels, improved cement production efficiencies through digital technology, expanded our warehouse capacity to accommodate larger production volumes, optimized logistics</w:t>
      </w:r>
      <w:r w:rsidR="00CE7C7F">
        <w:rPr>
          <w:rFonts w:ascii="Calibri" w:eastAsia="Calibri" w:hAnsi="Calibri" w:cs="Calibri"/>
          <w:color w:val="00183D"/>
          <w:sz w:val="21"/>
          <w:szCs w:val="21"/>
        </w:rPr>
        <w:t>,</w:t>
      </w:r>
      <w:r w:rsidRPr="00596AD1">
        <w:rPr>
          <w:rFonts w:ascii="Calibri" w:eastAsia="Calibri" w:hAnsi="Calibri" w:cs="Calibri"/>
          <w:color w:val="00183D"/>
          <w:sz w:val="21"/>
          <w:szCs w:val="21"/>
        </w:rPr>
        <w:t xml:space="preserve"> and reduced carbon footprint, primarily in the US and EU. Those projects will result in incremental financial benefits for the Group starting in 2023 and more so in 2024. The significant group capital expenditures for 2022 were aligned with </w:t>
      </w:r>
      <w:r w:rsidR="001A325A" w:rsidRPr="00596AD1">
        <w:rPr>
          <w:rFonts w:ascii="Calibri" w:eastAsia="Calibri" w:hAnsi="Calibri" w:cs="Calibri"/>
          <w:color w:val="00183D"/>
          <w:sz w:val="21"/>
          <w:szCs w:val="21"/>
        </w:rPr>
        <w:t>the Group’s</w:t>
      </w:r>
      <w:r w:rsidRPr="00596AD1">
        <w:rPr>
          <w:rFonts w:ascii="Calibri" w:eastAsia="Calibri" w:hAnsi="Calibri" w:cs="Calibri"/>
          <w:color w:val="00183D"/>
          <w:sz w:val="21"/>
          <w:szCs w:val="21"/>
        </w:rPr>
        <w:t xml:space="preserve"> strategic objectives, demonstrating its continued commitment to sustainable and responsible business practices for long-term growth. </w:t>
      </w:r>
      <w:r w:rsidR="00B85226">
        <w:rPr>
          <w:rFonts w:ascii="Calibri" w:eastAsia="Calibri" w:hAnsi="Calibri" w:cs="Calibri"/>
          <w:color w:val="00183D"/>
          <w:sz w:val="21"/>
          <w:szCs w:val="21"/>
        </w:rPr>
        <w:t xml:space="preserve">It is noted that the cost of </w:t>
      </w:r>
      <w:proofErr w:type="spellStart"/>
      <w:r w:rsidR="00B85226">
        <w:rPr>
          <w:rFonts w:ascii="Calibri" w:eastAsia="Calibri" w:hAnsi="Calibri" w:cs="Calibri"/>
          <w:color w:val="00183D"/>
          <w:sz w:val="21"/>
          <w:szCs w:val="21"/>
        </w:rPr>
        <w:t>CapEx</w:t>
      </w:r>
      <w:proofErr w:type="spellEnd"/>
      <w:r w:rsidR="00B85226">
        <w:rPr>
          <w:rFonts w:ascii="Calibri" w:eastAsia="Calibri" w:hAnsi="Calibri" w:cs="Calibri"/>
          <w:color w:val="00183D"/>
          <w:sz w:val="21"/>
          <w:szCs w:val="21"/>
        </w:rPr>
        <w:t xml:space="preserve"> was also affected by prevailing inflation and the strength of the US </w:t>
      </w:r>
      <w:r w:rsidR="00EA6CDA">
        <w:rPr>
          <w:rFonts w:ascii="Calibri" w:eastAsia="Calibri" w:hAnsi="Calibri" w:cs="Calibri"/>
          <w:color w:val="00183D"/>
          <w:sz w:val="21"/>
          <w:szCs w:val="21"/>
        </w:rPr>
        <w:t xml:space="preserve">dollar. </w:t>
      </w:r>
      <w:r w:rsidRPr="00596AD1">
        <w:rPr>
          <w:rFonts w:ascii="Calibri" w:eastAsia="Calibri" w:hAnsi="Calibri" w:cs="Calibri"/>
          <w:color w:val="00183D"/>
          <w:sz w:val="21"/>
          <w:szCs w:val="21"/>
        </w:rPr>
        <w:t xml:space="preserve">More than 50% of the </w:t>
      </w:r>
      <w:proofErr w:type="spellStart"/>
      <w:r w:rsidR="001D2CCD">
        <w:rPr>
          <w:rFonts w:ascii="Calibri" w:eastAsia="Calibri" w:hAnsi="Calibri" w:cs="Calibri"/>
          <w:color w:val="00183D"/>
          <w:sz w:val="21"/>
          <w:szCs w:val="21"/>
        </w:rPr>
        <w:t>CapEx</w:t>
      </w:r>
      <w:proofErr w:type="spellEnd"/>
      <w:r w:rsidR="001D2CCD" w:rsidRPr="00596AD1">
        <w:rPr>
          <w:rFonts w:ascii="Calibri" w:eastAsia="Calibri" w:hAnsi="Calibri" w:cs="Calibri"/>
          <w:color w:val="00183D"/>
          <w:sz w:val="21"/>
          <w:szCs w:val="21"/>
        </w:rPr>
        <w:t xml:space="preserve"> </w:t>
      </w:r>
      <w:r w:rsidRPr="00596AD1">
        <w:rPr>
          <w:rFonts w:ascii="Calibri" w:eastAsia="Calibri" w:hAnsi="Calibri" w:cs="Calibri"/>
          <w:color w:val="00183D"/>
          <w:sz w:val="21"/>
          <w:szCs w:val="21"/>
        </w:rPr>
        <w:t xml:space="preserve">for 2022 was directed to the US, as part of the Group’s $300m growth investment program in the US during 2021-2023. </w:t>
      </w:r>
    </w:p>
    <w:p w14:paraId="09A60FB1" w14:textId="14F91279" w:rsidR="00596AD1" w:rsidRDefault="00596AD1" w:rsidP="00596AD1">
      <w:pPr>
        <w:autoSpaceDE w:val="0"/>
        <w:autoSpaceDN w:val="0"/>
        <w:jc w:val="both"/>
        <w:rPr>
          <w:rFonts w:ascii="Calibri" w:eastAsia="Calibri" w:hAnsi="Calibri" w:cs="Calibri"/>
          <w:color w:val="00183D"/>
          <w:sz w:val="21"/>
          <w:szCs w:val="21"/>
        </w:rPr>
      </w:pPr>
      <w:r w:rsidRPr="00596AD1">
        <w:rPr>
          <w:rFonts w:ascii="Calibri" w:eastAsia="Calibri" w:hAnsi="Calibri" w:cs="Calibri"/>
          <w:color w:val="00183D"/>
          <w:sz w:val="21"/>
          <w:szCs w:val="21"/>
        </w:rPr>
        <w:t>Working Capital increased in 2022 by €</w:t>
      </w:r>
      <w:r w:rsidR="00573A88">
        <w:rPr>
          <w:rFonts w:ascii="Calibri" w:eastAsia="Calibri" w:hAnsi="Calibri" w:cs="Calibri"/>
          <w:color w:val="00183D"/>
          <w:sz w:val="21"/>
          <w:szCs w:val="21"/>
        </w:rPr>
        <w:t>9</w:t>
      </w:r>
      <w:r w:rsidR="0095708C">
        <w:rPr>
          <w:rFonts w:ascii="Calibri" w:eastAsia="Calibri" w:hAnsi="Calibri" w:cs="Calibri"/>
          <w:color w:val="00183D"/>
          <w:sz w:val="21"/>
          <w:szCs w:val="21"/>
        </w:rPr>
        <w:t>2</w:t>
      </w:r>
      <w:r w:rsidRPr="00596AD1">
        <w:rPr>
          <w:rFonts w:ascii="Calibri" w:eastAsia="Calibri" w:hAnsi="Calibri" w:cs="Calibri"/>
          <w:color w:val="00183D"/>
          <w:sz w:val="21"/>
          <w:szCs w:val="21"/>
        </w:rPr>
        <w:t>m as a direct result of higher group sales, inflationary pressures on inventories</w:t>
      </w:r>
      <w:r w:rsidR="00C61E5E">
        <w:rPr>
          <w:rFonts w:ascii="Calibri" w:eastAsia="Calibri" w:hAnsi="Calibri" w:cs="Calibri"/>
          <w:color w:val="00183D"/>
          <w:sz w:val="21"/>
          <w:szCs w:val="21"/>
        </w:rPr>
        <w:t>,</w:t>
      </w:r>
      <w:r w:rsidRPr="00596AD1">
        <w:rPr>
          <w:rFonts w:ascii="Calibri" w:eastAsia="Calibri" w:hAnsi="Calibri" w:cs="Calibri"/>
          <w:color w:val="00183D"/>
          <w:sz w:val="21"/>
          <w:szCs w:val="21"/>
        </w:rPr>
        <w:t xml:space="preserve"> and higher inventory levels addressing supply chain disruptions. </w:t>
      </w:r>
    </w:p>
    <w:p w14:paraId="1D312D35" w14:textId="77777777" w:rsidR="00B236AC" w:rsidRPr="00B236AC" w:rsidRDefault="00B236AC" w:rsidP="00596AD1">
      <w:pPr>
        <w:autoSpaceDE w:val="0"/>
        <w:autoSpaceDN w:val="0"/>
        <w:jc w:val="both"/>
        <w:rPr>
          <w:rFonts w:ascii="Calibri" w:eastAsia="Calibri" w:hAnsi="Calibri" w:cs="Calibri"/>
          <w:color w:val="00183D"/>
          <w:sz w:val="21"/>
          <w:szCs w:val="21"/>
        </w:rPr>
      </w:pPr>
      <w:r w:rsidRPr="00B236AC">
        <w:rPr>
          <w:rFonts w:ascii="Calibri" w:eastAsia="Calibri" w:hAnsi="Calibri" w:cs="Calibri"/>
          <w:color w:val="00183D"/>
          <w:sz w:val="21"/>
          <w:szCs w:val="21"/>
        </w:rPr>
        <w:t>Following an EBITDA increase to €331.2m (+€56.0m), higher capital expenditures and higher working capital needs to support sales growth, Operating Free Cash Flow (OFCF) for the year 2022 reached €18.8m versus €104.7m in 2021.  </w:t>
      </w:r>
    </w:p>
    <w:p w14:paraId="42B49EEA" w14:textId="443E1825" w:rsidR="00596AD1" w:rsidRPr="00596AD1" w:rsidRDefault="00596AD1" w:rsidP="00596AD1">
      <w:pPr>
        <w:autoSpaceDE w:val="0"/>
        <w:autoSpaceDN w:val="0"/>
        <w:jc w:val="both"/>
        <w:rPr>
          <w:rFonts w:ascii="Calibri" w:eastAsia="Calibri" w:hAnsi="Calibri" w:cs="Calibri"/>
          <w:color w:val="00183D"/>
          <w:sz w:val="21"/>
          <w:szCs w:val="21"/>
        </w:rPr>
      </w:pPr>
      <w:r w:rsidRPr="00596AD1">
        <w:rPr>
          <w:rFonts w:ascii="Calibri" w:eastAsia="Calibri" w:hAnsi="Calibri" w:cs="Calibri"/>
          <w:color w:val="00183D"/>
          <w:sz w:val="21"/>
          <w:szCs w:val="21"/>
        </w:rPr>
        <w:t>Year-end net debt increased by €84.1m to €797.3m (2021: €713.2m), while the leverage ratio of Net Debt/EBITDA ratio dropped to 2.4x thanks to the increased EBITDA. The Group has a low exposure to interest rate risk as more than 80% of its debt is either in fixed rates or covered by long-term interest rate hedges. There is no material debt maturity within the next 18 months.</w:t>
      </w:r>
    </w:p>
    <w:p w14:paraId="7826285D" w14:textId="32C638C7" w:rsidR="007379E9" w:rsidRDefault="00596AD1" w:rsidP="002C6724">
      <w:pPr>
        <w:autoSpaceDE w:val="0"/>
        <w:autoSpaceDN w:val="0"/>
        <w:jc w:val="both"/>
        <w:rPr>
          <w:rFonts w:ascii="Calibri" w:eastAsia="Calibri" w:hAnsi="Calibri" w:cs="Calibri"/>
          <w:color w:val="00183D"/>
          <w:sz w:val="21"/>
          <w:szCs w:val="21"/>
        </w:rPr>
      </w:pPr>
      <w:r w:rsidRPr="00596AD1">
        <w:rPr>
          <w:rFonts w:ascii="Calibri" w:eastAsia="Calibri" w:hAnsi="Calibri" w:cs="Calibri"/>
          <w:color w:val="00183D"/>
          <w:sz w:val="21"/>
          <w:szCs w:val="21"/>
        </w:rPr>
        <w:t>In December 2022, Standard &amp; Poor’s re-affirmed its previous rating for Titan Cement International S.A. of “BB” with a stable outlook.</w:t>
      </w:r>
      <w:bookmarkStart w:id="0" w:name="_Hlk129357189"/>
      <w:r w:rsidR="00C54799">
        <w:rPr>
          <w:rFonts w:ascii="Calibri" w:eastAsia="Calibri" w:hAnsi="Calibri" w:cs="Calibri"/>
          <w:color w:val="00183D"/>
          <w:sz w:val="21"/>
          <w:szCs w:val="21"/>
        </w:rPr>
        <w:t xml:space="preserve"> </w:t>
      </w:r>
    </w:p>
    <w:p w14:paraId="5B639134" w14:textId="77777777" w:rsidR="00802FFC" w:rsidRDefault="00802FFC" w:rsidP="002C6724">
      <w:pPr>
        <w:autoSpaceDE w:val="0"/>
        <w:autoSpaceDN w:val="0"/>
        <w:jc w:val="both"/>
        <w:rPr>
          <w:rFonts w:ascii="Calibri" w:eastAsia="Calibri" w:hAnsi="Calibri" w:cs="Calibri"/>
          <w:color w:val="00183D"/>
          <w:sz w:val="21"/>
          <w:szCs w:val="21"/>
        </w:rPr>
      </w:pPr>
    </w:p>
    <w:p w14:paraId="5BC307F2" w14:textId="428FCAAD" w:rsidR="00D155C0" w:rsidRPr="0051186A" w:rsidRDefault="00D155C0" w:rsidP="00D155C0">
      <w:pPr>
        <w:pStyle w:val="BodyText"/>
        <w:jc w:val="both"/>
        <w:rPr>
          <w:rFonts w:ascii="Calibri" w:hAnsi="Calibri" w:cs="Calibri"/>
          <w:color w:val="00183D"/>
          <w:lang w:val="en-US"/>
        </w:rPr>
      </w:pPr>
      <w:r w:rsidRPr="00D155C0">
        <w:rPr>
          <w:rFonts w:ascii="Calibri" w:eastAsia="Calibri" w:hAnsi="Calibri" w:cs="Calibri"/>
          <w:color w:val="00183D"/>
          <w:lang w:val="en-US"/>
        </w:rPr>
        <w:t xml:space="preserve">Post-balance sheet event: </w:t>
      </w:r>
      <w:r w:rsidRPr="00B4383B">
        <w:rPr>
          <w:rFonts w:ascii="Calibri" w:hAnsi="Calibri" w:cs="Calibri"/>
          <w:color w:val="00183D"/>
          <w:lang w:val="en-US"/>
        </w:rPr>
        <w:t xml:space="preserve">In early 2023, the Group took a participation in «Aegean Perlites», a company operating perlite and pozzolan quarries on the Greek island of </w:t>
      </w:r>
      <w:proofErr w:type="spellStart"/>
      <w:r w:rsidRPr="00B4383B">
        <w:rPr>
          <w:rFonts w:ascii="Calibri" w:hAnsi="Calibri" w:cs="Calibri"/>
          <w:color w:val="00183D"/>
          <w:lang w:val="en-US"/>
        </w:rPr>
        <w:t>Yali</w:t>
      </w:r>
      <w:proofErr w:type="spellEnd"/>
      <w:r w:rsidRPr="00B4383B">
        <w:rPr>
          <w:rFonts w:ascii="Calibri" w:hAnsi="Calibri" w:cs="Calibri"/>
          <w:color w:val="00183D"/>
          <w:lang w:val="en-US"/>
        </w:rPr>
        <w:t xml:space="preserve">, thereby gaining direct access to a key raw material that will allow the enlargement of the Group’s offering of low-carbon cementitious products and securing the long term pozzolan sourcing needs of the Group. </w:t>
      </w:r>
    </w:p>
    <w:p w14:paraId="0FEAC75B" w14:textId="6414A920" w:rsidR="00D155C0" w:rsidRDefault="00D155C0" w:rsidP="002C6724">
      <w:pPr>
        <w:autoSpaceDE w:val="0"/>
        <w:autoSpaceDN w:val="0"/>
        <w:jc w:val="both"/>
        <w:rPr>
          <w:rFonts w:ascii="Calibri" w:eastAsia="Calibri" w:hAnsi="Calibri" w:cs="Calibri"/>
          <w:color w:val="00183D"/>
          <w:sz w:val="21"/>
          <w:szCs w:val="21"/>
        </w:rPr>
      </w:pPr>
    </w:p>
    <w:p w14:paraId="6D7805CC" w14:textId="1ADC219C" w:rsidR="005118E6" w:rsidRPr="005118E6" w:rsidRDefault="002C6724" w:rsidP="005118E6">
      <w:pPr>
        <w:autoSpaceDE w:val="0"/>
        <w:autoSpaceDN w:val="0"/>
        <w:adjustRightInd w:val="0"/>
        <w:jc w:val="both"/>
        <w:rPr>
          <w:rFonts w:ascii="Calibri" w:eastAsia="Calibri" w:hAnsi="Calibri" w:cs="Calibri"/>
          <w:bCs/>
          <w:color w:val="00183D"/>
          <w:sz w:val="21"/>
          <w:szCs w:val="21"/>
          <w:lang w:eastAsia="el-GR" w:bidi="el-GR"/>
        </w:rPr>
      </w:pPr>
      <w:r w:rsidRPr="005118E6">
        <w:rPr>
          <w:rFonts w:ascii="Calibri" w:eastAsia="Calibri" w:hAnsi="Calibri" w:cs="Calibri"/>
          <w:bCs/>
          <w:color w:val="00183D"/>
          <w:sz w:val="21"/>
          <w:szCs w:val="21"/>
          <w:lang w:eastAsia="el-GR" w:bidi="el-GR"/>
        </w:rPr>
        <w:t xml:space="preserve">The Group completed the program that began in October 2021 and initiated two additional share buy-back programs in March and July 2022. Each program was for €10m and a duration of up to six months. Overall, in 2022, in the context of the </w:t>
      </w:r>
      <w:proofErr w:type="gramStart"/>
      <w:r w:rsidRPr="005118E6">
        <w:rPr>
          <w:rFonts w:ascii="Calibri" w:eastAsia="Calibri" w:hAnsi="Calibri" w:cs="Calibri"/>
          <w:bCs/>
          <w:color w:val="00183D"/>
          <w:sz w:val="21"/>
          <w:szCs w:val="21"/>
          <w:lang w:eastAsia="el-GR" w:bidi="el-GR"/>
        </w:rPr>
        <w:t>aforementioned share</w:t>
      </w:r>
      <w:proofErr w:type="gramEnd"/>
      <w:r w:rsidRPr="005118E6">
        <w:rPr>
          <w:rFonts w:ascii="Calibri" w:eastAsia="Calibri" w:hAnsi="Calibri" w:cs="Calibri"/>
          <w:bCs/>
          <w:color w:val="00183D"/>
          <w:sz w:val="21"/>
          <w:szCs w:val="21"/>
          <w:lang w:eastAsia="el-GR" w:bidi="el-GR"/>
        </w:rPr>
        <w:t xml:space="preserve"> buyback programs, 1,947,7</w:t>
      </w:r>
      <w:r w:rsidR="00B02904">
        <w:rPr>
          <w:rFonts w:ascii="Calibri" w:eastAsia="Calibri" w:hAnsi="Calibri" w:cs="Calibri"/>
          <w:bCs/>
          <w:color w:val="00183D"/>
          <w:sz w:val="21"/>
          <w:szCs w:val="21"/>
          <w:lang w:eastAsia="el-GR" w:bidi="el-GR"/>
        </w:rPr>
        <w:t>2</w:t>
      </w:r>
      <w:r w:rsidRPr="005118E6" w:rsidDel="00B02904">
        <w:rPr>
          <w:rFonts w:ascii="Calibri" w:eastAsia="Calibri" w:hAnsi="Calibri" w:cs="Calibri"/>
          <w:bCs/>
          <w:color w:val="00183D"/>
          <w:sz w:val="21"/>
          <w:szCs w:val="21"/>
          <w:lang w:eastAsia="el-GR" w:bidi="el-GR"/>
        </w:rPr>
        <w:t>1</w:t>
      </w:r>
      <w:r w:rsidRPr="005118E6">
        <w:rPr>
          <w:rFonts w:ascii="Calibri" w:eastAsia="Calibri" w:hAnsi="Calibri" w:cs="Calibri"/>
          <w:bCs/>
          <w:color w:val="00183D"/>
          <w:sz w:val="21"/>
          <w:szCs w:val="21"/>
          <w:lang w:eastAsia="el-GR" w:bidi="el-GR"/>
        </w:rPr>
        <w:t xml:space="preserve"> shares were acquired by the Group for an amount of €23.8m.</w:t>
      </w:r>
      <w:r w:rsidR="00451F45" w:rsidRPr="005118E6">
        <w:rPr>
          <w:rFonts w:ascii="Calibri" w:eastAsia="Calibri" w:hAnsi="Calibri" w:cs="Calibri"/>
          <w:bCs/>
          <w:color w:val="00183D"/>
          <w:sz w:val="21"/>
          <w:szCs w:val="21"/>
          <w:lang w:eastAsia="el-GR" w:bidi="el-GR"/>
        </w:rPr>
        <w:t xml:space="preserve"> A new share buyback program of €10 million, approved last </w:t>
      </w:r>
      <w:r w:rsidR="00FD6255" w:rsidRPr="005118E6">
        <w:rPr>
          <w:rFonts w:ascii="Calibri" w:eastAsia="Calibri" w:hAnsi="Calibri" w:cs="Calibri"/>
          <w:bCs/>
          <w:color w:val="00183D"/>
          <w:sz w:val="21"/>
          <w:szCs w:val="21"/>
          <w:lang w:eastAsia="el-GR" w:bidi="el-GR"/>
        </w:rPr>
        <w:t>January, was initiated on March 1</w:t>
      </w:r>
      <w:r w:rsidR="00FD6255" w:rsidRPr="005118E6">
        <w:rPr>
          <w:rFonts w:ascii="Calibri" w:eastAsia="Calibri" w:hAnsi="Calibri" w:cs="Calibri"/>
          <w:bCs/>
          <w:color w:val="00183D"/>
          <w:sz w:val="21"/>
          <w:szCs w:val="21"/>
          <w:vertAlign w:val="superscript"/>
          <w:lang w:eastAsia="el-GR" w:bidi="el-GR"/>
        </w:rPr>
        <w:t>st</w:t>
      </w:r>
      <w:r w:rsidR="00FD6255" w:rsidRPr="005118E6">
        <w:rPr>
          <w:rFonts w:ascii="Calibri" w:eastAsia="Calibri" w:hAnsi="Calibri" w:cs="Calibri"/>
          <w:bCs/>
          <w:color w:val="00183D"/>
          <w:sz w:val="21"/>
          <w:szCs w:val="21"/>
          <w:lang w:eastAsia="el-GR" w:bidi="el-GR"/>
        </w:rPr>
        <w:t xml:space="preserve">, 2023. </w:t>
      </w:r>
    </w:p>
    <w:p w14:paraId="1CC7B395" w14:textId="131997D7" w:rsidR="002C6724" w:rsidRDefault="002C6724" w:rsidP="005118E6">
      <w:pPr>
        <w:autoSpaceDE w:val="0"/>
        <w:autoSpaceDN w:val="0"/>
        <w:adjustRightInd w:val="0"/>
        <w:jc w:val="both"/>
        <w:rPr>
          <w:rFonts w:ascii="Calibri" w:eastAsia="Calibri" w:hAnsi="Calibri" w:cs="Calibri"/>
          <w:bCs/>
          <w:color w:val="00183D"/>
          <w:sz w:val="21"/>
          <w:szCs w:val="21"/>
          <w:lang w:eastAsia="el-GR" w:bidi="el-GR"/>
        </w:rPr>
      </w:pPr>
      <w:r w:rsidRPr="005118E6">
        <w:rPr>
          <w:rFonts w:ascii="Calibri" w:eastAsia="Calibri" w:hAnsi="Calibri" w:cs="Calibri"/>
          <w:bCs/>
          <w:color w:val="00183D"/>
          <w:sz w:val="21"/>
          <w:szCs w:val="21"/>
          <w:lang w:eastAsia="el-GR" w:bidi="el-GR"/>
        </w:rPr>
        <w:t xml:space="preserve">Following improved profitability in 2022, the Board of Directors is proposing to the Annual General Assembly of Shareholders, scheduled to take place on May 11th, 2023, a dividend distribution of €0.60 per share. </w:t>
      </w:r>
      <w:r w:rsidR="00225D91" w:rsidRPr="005118E6">
        <w:rPr>
          <w:rFonts w:ascii="Calibri" w:eastAsia="Calibri" w:hAnsi="Calibri" w:cs="Calibri"/>
          <w:bCs/>
          <w:color w:val="00183D"/>
          <w:sz w:val="21"/>
          <w:szCs w:val="21"/>
          <w:lang w:eastAsia="el-GR" w:bidi="el-GR"/>
        </w:rPr>
        <w:t xml:space="preserve">This represents an increase of </w:t>
      </w:r>
      <w:r w:rsidR="00F60065" w:rsidRPr="005118E6">
        <w:rPr>
          <w:rFonts w:ascii="Calibri" w:eastAsia="Calibri" w:hAnsi="Calibri" w:cs="Calibri"/>
          <w:bCs/>
          <w:color w:val="00183D"/>
          <w:sz w:val="21"/>
          <w:szCs w:val="21"/>
          <w:lang w:eastAsia="el-GR" w:bidi="el-GR"/>
        </w:rPr>
        <w:t>20</w:t>
      </w:r>
      <w:r w:rsidR="00225D91" w:rsidRPr="005118E6">
        <w:rPr>
          <w:rFonts w:ascii="Calibri" w:eastAsia="Calibri" w:hAnsi="Calibri" w:cs="Calibri"/>
          <w:bCs/>
          <w:color w:val="00183D"/>
          <w:sz w:val="21"/>
          <w:szCs w:val="21"/>
          <w:lang w:eastAsia="el-GR" w:bidi="el-GR"/>
        </w:rPr>
        <w:t xml:space="preserve">% versus </w:t>
      </w:r>
      <w:r w:rsidR="00BE1F77" w:rsidRPr="005118E6">
        <w:rPr>
          <w:rFonts w:ascii="Calibri" w:eastAsia="Calibri" w:hAnsi="Calibri" w:cs="Calibri"/>
          <w:bCs/>
          <w:color w:val="00183D"/>
          <w:sz w:val="21"/>
          <w:szCs w:val="21"/>
          <w:lang w:eastAsia="el-GR" w:bidi="el-GR"/>
        </w:rPr>
        <w:t>the previous</w:t>
      </w:r>
      <w:r w:rsidR="00225D91" w:rsidRPr="005118E6">
        <w:rPr>
          <w:rFonts w:ascii="Calibri" w:eastAsia="Calibri" w:hAnsi="Calibri" w:cs="Calibri"/>
          <w:bCs/>
          <w:color w:val="00183D"/>
          <w:sz w:val="21"/>
          <w:szCs w:val="21"/>
          <w:lang w:eastAsia="el-GR" w:bidi="el-GR"/>
        </w:rPr>
        <w:t xml:space="preserve"> year. </w:t>
      </w:r>
    </w:p>
    <w:p w14:paraId="0FDAB9C4" w14:textId="77777777" w:rsidR="00F51F27" w:rsidRDefault="00F51F27" w:rsidP="005118E6">
      <w:pPr>
        <w:autoSpaceDE w:val="0"/>
        <w:autoSpaceDN w:val="0"/>
        <w:adjustRightInd w:val="0"/>
        <w:jc w:val="both"/>
        <w:rPr>
          <w:rFonts w:ascii="Calibri" w:eastAsia="Calibri" w:hAnsi="Calibri" w:cs="Calibri"/>
          <w:bCs/>
          <w:color w:val="00183D"/>
          <w:sz w:val="21"/>
          <w:szCs w:val="21"/>
          <w:lang w:eastAsia="el-GR" w:bidi="el-GR"/>
        </w:rPr>
      </w:pPr>
    </w:p>
    <w:p w14:paraId="082B8822"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1B6F1146"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205FF235"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55B6B74A"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3A4DB26A"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2A5030D5"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5A364B73"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4AF685A8"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3470CE60"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2158794C"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51AC841F"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06245BFB"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00E580A4"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261F9B61" w14:textId="77777777" w:rsidR="004A50B4" w:rsidRDefault="004A50B4" w:rsidP="005118E6">
      <w:pPr>
        <w:autoSpaceDE w:val="0"/>
        <w:autoSpaceDN w:val="0"/>
        <w:adjustRightInd w:val="0"/>
        <w:jc w:val="both"/>
        <w:rPr>
          <w:rFonts w:ascii="Calibri" w:eastAsia="Calibri" w:hAnsi="Calibri" w:cs="Calibri"/>
          <w:bCs/>
          <w:color w:val="00183D"/>
          <w:sz w:val="21"/>
          <w:szCs w:val="21"/>
          <w:lang w:eastAsia="el-GR" w:bidi="el-GR"/>
        </w:rPr>
      </w:pPr>
    </w:p>
    <w:p w14:paraId="2C0FB406" w14:textId="77777777" w:rsidR="00F51F27" w:rsidRDefault="00F51F27" w:rsidP="005118E6">
      <w:pPr>
        <w:autoSpaceDE w:val="0"/>
        <w:autoSpaceDN w:val="0"/>
        <w:adjustRightInd w:val="0"/>
        <w:jc w:val="both"/>
        <w:rPr>
          <w:rFonts w:ascii="Calibri" w:eastAsia="Calibri" w:hAnsi="Calibri" w:cs="Calibri"/>
          <w:bCs/>
          <w:color w:val="00183D"/>
          <w:sz w:val="21"/>
          <w:szCs w:val="21"/>
          <w:lang w:eastAsia="el-GR" w:bidi="el-GR"/>
        </w:rPr>
      </w:pPr>
    </w:p>
    <w:p w14:paraId="1C2EBC29" w14:textId="77777777" w:rsidR="00F51F27" w:rsidRPr="005118E6" w:rsidRDefault="00F51F27" w:rsidP="005118E6">
      <w:pPr>
        <w:autoSpaceDE w:val="0"/>
        <w:autoSpaceDN w:val="0"/>
        <w:adjustRightInd w:val="0"/>
        <w:jc w:val="both"/>
        <w:rPr>
          <w:rFonts w:ascii="Calibri" w:eastAsia="Calibri" w:hAnsi="Calibri" w:cs="Calibri"/>
          <w:bCs/>
          <w:color w:val="00183D"/>
          <w:sz w:val="21"/>
          <w:szCs w:val="21"/>
          <w:lang w:eastAsia="el-GR" w:bidi="el-GR"/>
        </w:rPr>
      </w:pPr>
    </w:p>
    <w:bookmarkEnd w:id="0"/>
    <w:p w14:paraId="1948AA91" w14:textId="27B6726A" w:rsidR="004A7016" w:rsidRPr="0087712A" w:rsidRDefault="004A7016" w:rsidP="001B7F16">
      <w:pPr>
        <w:spacing w:after="200" w:line="276" w:lineRule="auto"/>
        <w:rPr>
          <w:rFonts w:ascii="Calibri" w:eastAsia="Calibri" w:hAnsi="Calibri" w:cs="Calibri"/>
          <w:b/>
          <w:bCs/>
          <w:color w:val="00183D"/>
          <w:sz w:val="28"/>
          <w:lang w:val="en-GB"/>
        </w:rPr>
      </w:pPr>
      <w:r w:rsidRPr="0087712A">
        <w:rPr>
          <w:rFonts w:ascii="Calibri" w:eastAsia="Calibri" w:hAnsi="Calibri" w:cs="Calibri"/>
          <w:b/>
          <w:bCs/>
          <w:noProof/>
          <w:color w:val="00183D"/>
          <w:sz w:val="28"/>
        </w:rPr>
        <mc:AlternateContent>
          <mc:Choice Requires="wps">
            <w:drawing>
              <wp:anchor distT="0" distB="0" distL="114300" distR="114300" simplePos="0" relativeHeight="251658244" behindDoc="0" locked="0" layoutInCell="1" allowOverlap="1" wp14:anchorId="01BFBF3D" wp14:editId="341847E6">
                <wp:simplePos x="0" y="0"/>
                <wp:positionH relativeFrom="column">
                  <wp:posOffset>2209</wp:posOffset>
                </wp:positionH>
                <wp:positionV relativeFrom="paragraph">
                  <wp:posOffset>227074</wp:posOffset>
                </wp:positionV>
                <wp:extent cx="6112446" cy="0"/>
                <wp:effectExtent l="0" t="0" r="9525" b="12700"/>
                <wp:wrapNone/>
                <wp:docPr id="21" name="Straight Connector 21"/>
                <wp:cNvGraphicFramePr/>
                <a:graphic xmlns:a="http://schemas.openxmlformats.org/drawingml/2006/main">
                  <a:graphicData uri="http://schemas.microsoft.com/office/word/2010/wordprocessingShape">
                    <wps:wsp>
                      <wps:cNvCnPr/>
                      <wps:spPr>
                        <a:xfrm>
                          <a:off x="0" y="0"/>
                          <a:ext cx="6112446"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422E9" id="Straight Connector 21"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9pt" to="48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" strokecolor="#00183d" strokeweight=".25pt"/>
            </w:pict>
          </mc:Fallback>
        </mc:AlternateContent>
      </w:r>
      <w:r w:rsidRPr="0087712A">
        <w:rPr>
          <w:rFonts w:ascii="Calibri" w:eastAsia="Calibri" w:hAnsi="Calibri" w:cs="Calibri"/>
          <w:b/>
          <w:bCs/>
          <w:color w:val="00183D"/>
          <w:sz w:val="28"/>
          <w:lang w:val="en-GB"/>
        </w:rPr>
        <w:t xml:space="preserve">Regional review of </w:t>
      </w:r>
      <w:r w:rsidR="00D6344A" w:rsidRPr="0087712A">
        <w:rPr>
          <w:rFonts w:ascii="Calibri" w:eastAsia="Calibri" w:hAnsi="Calibri" w:cs="Calibri"/>
          <w:b/>
          <w:bCs/>
          <w:color w:val="00183D"/>
          <w:sz w:val="28"/>
          <w:lang w:val="en-GB"/>
        </w:rPr>
        <w:t>the year 202</w:t>
      </w:r>
      <w:r w:rsidR="00A62669" w:rsidRPr="0087712A">
        <w:rPr>
          <w:rFonts w:ascii="Calibri" w:eastAsia="Calibri" w:hAnsi="Calibri" w:cs="Calibri"/>
          <w:b/>
          <w:bCs/>
          <w:color w:val="00183D"/>
          <w:sz w:val="28"/>
          <w:lang w:val="en-GB"/>
        </w:rPr>
        <w:t>2</w:t>
      </w:r>
      <w:r w:rsidRPr="0087712A">
        <w:rPr>
          <w:rFonts w:ascii="Calibri" w:eastAsia="Calibri" w:hAnsi="Calibri" w:cs="Calibri"/>
          <w:b/>
          <w:bCs/>
          <w:color w:val="00183D"/>
          <w:sz w:val="28"/>
          <w:lang w:val="en-GB"/>
        </w:rPr>
        <w:tab/>
      </w:r>
    </w:p>
    <w:p w14:paraId="7CC647BA" w14:textId="77777777" w:rsidR="00C7065D" w:rsidRDefault="00C7065D" w:rsidP="00820CD1">
      <w:pPr>
        <w:spacing w:after="200" w:line="276" w:lineRule="auto"/>
        <w:rPr>
          <w:rFonts w:ascii="Calibri" w:eastAsia="Calibri" w:hAnsi="Calibri" w:cs="Calibri"/>
          <w:b/>
          <w:bCs/>
          <w:color w:val="00183D"/>
          <w:sz w:val="28"/>
          <w:lang w:val="en-GB"/>
        </w:rPr>
      </w:pPr>
    </w:p>
    <w:p w14:paraId="13C44549" w14:textId="36913C62" w:rsidR="004A7016" w:rsidRPr="0087712A" w:rsidRDefault="00EE0AA6" w:rsidP="00820CD1">
      <w:pPr>
        <w:spacing w:after="200" w:line="276" w:lineRule="auto"/>
        <w:rPr>
          <w:rFonts w:ascii="Calibri" w:eastAsia="Calibri" w:hAnsi="Calibri" w:cs="Calibri"/>
          <w:b/>
          <w:bCs/>
          <w:color w:val="00183D"/>
          <w:sz w:val="28"/>
          <w:lang w:val="en-GB"/>
        </w:rPr>
      </w:pPr>
      <w:r w:rsidRPr="0087712A">
        <w:rPr>
          <w:rFonts w:ascii="Calibri" w:hAnsi="Calibri" w:cs="Calibri"/>
          <w:noProof/>
          <w:color w:val="00183D"/>
          <w:sz w:val="28"/>
        </w:rPr>
        <mc:AlternateContent>
          <mc:Choice Requires="wps">
            <w:drawing>
              <wp:anchor distT="0" distB="0" distL="114300" distR="114300" simplePos="0" relativeHeight="251658243" behindDoc="0" locked="0" layoutInCell="1" allowOverlap="1" wp14:anchorId="0C04A4F9" wp14:editId="042E7CFA">
                <wp:simplePos x="0" y="0"/>
                <wp:positionH relativeFrom="page">
                  <wp:posOffset>4226153</wp:posOffset>
                </wp:positionH>
                <wp:positionV relativeFrom="paragraph">
                  <wp:posOffset>219431</wp:posOffset>
                </wp:positionV>
                <wp:extent cx="1031875" cy="320040"/>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875" cy="320040"/>
                        </a:xfrm>
                        <a:prstGeom prst="rect">
                          <a:avLst/>
                        </a:prstGeom>
                      </wps:spPr>
                      <wps:txbx>
                        <w:txbxContent>
                          <w:p w14:paraId="2D4F3500"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Total assets</w:t>
                            </w:r>
                          </w:p>
                          <w:p w14:paraId="52B10555"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6C2680E4"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C04A4F9" id="Rectangle 75" o:spid="_x0000_s1028" style="position:absolute;margin-left:332.75pt;margin-top:17.3pt;width:81.25pt;height:25.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" filled="f" stroked="f">
                <v:textbox>
                  <w:txbxContent>
                    <w:p w14:paraId="2D4F3500"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Total assets</w:t>
                      </w:r>
                    </w:p>
                    <w:p w14:paraId="52B10555"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6C2680E4"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v:textbox>
                <w10:wrap anchorx="page"/>
              </v:rect>
            </w:pict>
          </mc:Fallback>
        </mc:AlternateContent>
      </w:r>
      <w:r w:rsidRPr="0087712A">
        <w:rPr>
          <w:rFonts w:ascii="Calibri" w:hAnsi="Calibri" w:cs="Calibri"/>
          <w:noProof/>
          <w:color w:val="00183D"/>
          <w:sz w:val="28"/>
        </w:rPr>
        <mc:AlternateContent>
          <mc:Choice Requires="wps">
            <w:drawing>
              <wp:anchor distT="0" distB="0" distL="114300" distR="114300" simplePos="0" relativeHeight="251658242" behindDoc="0" locked="0" layoutInCell="1" allowOverlap="1" wp14:anchorId="23DC6299" wp14:editId="267DF6CF">
                <wp:simplePos x="0" y="0"/>
                <wp:positionH relativeFrom="column">
                  <wp:posOffset>1817370</wp:posOffset>
                </wp:positionH>
                <wp:positionV relativeFrom="paragraph">
                  <wp:posOffset>218440</wp:posOffset>
                </wp:positionV>
                <wp:extent cx="1189990" cy="35941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59410"/>
                        </a:xfrm>
                        <a:prstGeom prst="rect">
                          <a:avLst/>
                        </a:prstGeom>
                      </wps:spPr>
                      <wps:txbx>
                        <w:txbxContent>
                          <w:p w14:paraId="2AA1FDF1"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EBITDA</w:t>
                            </w:r>
                          </w:p>
                          <w:p w14:paraId="2397C891" w14:textId="77777777" w:rsidR="00A90423" w:rsidRPr="00621C7D" w:rsidRDefault="00A90423" w:rsidP="004A7016">
                            <w:pPr>
                              <w:spacing w:line="216" w:lineRule="auto"/>
                              <w:rPr>
                                <w:rFonts w:ascii="Calibri Light" w:hAnsi="Calibri Light" w:cs="Calibri Light"/>
                                <w:color w:val="00183D"/>
                                <w:sz w:val="18"/>
                                <w:szCs w:val="18"/>
                                <w:lang w:val="en-CA"/>
                              </w:rPr>
                            </w:pPr>
                          </w:p>
                          <w:p w14:paraId="10F61721"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3DC6299" id="Rectangle 74" o:spid="_x0000_s1029" style="position:absolute;margin-left:143.1pt;margin-top:17.2pt;width:93.7pt;height:2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" filled="f" stroked="f">
                <v:textbox>
                  <w:txbxContent>
                    <w:p w14:paraId="2AA1FDF1"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EBITDA</w:t>
                      </w:r>
                    </w:p>
                    <w:p w14:paraId="2397C891" w14:textId="77777777" w:rsidR="00A90423" w:rsidRPr="00621C7D" w:rsidRDefault="00A90423" w:rsidP="004A7016">
                      <w:pPr>
                        <w:spacing w:line="216" w:lineRule="auto"/>
                        <w:rPr>
                          <w:rFonts w:ascii="Calibri Light" w:hAnsi="Calibri Light" w:cs="Calibri Light"/>
                          <w:color w:val="00183D"/>
                          <w:sz w:val="18"/>
                          <w:szCs w:val="18"/>
                          <w:lang w:val="en-CA"/>
                        </w:rPr>
                      </w:pPr>
                    </w:p>
                    <w:p w14:paraId="10F61721"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Pr="0087712A">
        <w:rPr>
          <w:rFonts w:ascii="Calibri" w:hAnsi="Calibri" w:cs="Calibri"/>
          <w:noProof/>
          <w:color w:val="00183D"/>
          <w:sz w:val="28"/>
        </w:rPr>
        <mc:AlternateContent>
          <mc:Choice Requires="wps">
            <w:drawing>
              <wp:anchor distT="0" distB="0" distL="114300" distR="114300" simplePos="0" relativeHeight="251658245" behindDoc="0" locked="0" layoutInCell="1" allowOverlap="1" wp14:anchorId="228B1A00" wp14:editId="7921E195">
                <wp:simplePos x="0" y="0"/>
                <wp:positionH relativeFrom="column">
                  <wp:posOffset>37465</wp:posOffset>
                </wp:positionH>
                <wp:positionV relativeFrom="paragraph">
                  <wp:posOffset>212090</wp:posOffset>
                </wp:positionV>
                <wp:extent cx="1598295" cy="34671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295" cy="346710"/>
                        </a:xfrm>
                        <a:prstGeom prst="rect">
                          <a:avLst/>
                        </a:prstGeom>
                      </wps:spPr>
                      <wps:txbx>
                        <w:txbxContent>
                          <w:p w14:paraId="406F6D77" w14:textId="3E779954"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0DC74A9F" w14:textId="77777777" w:rsidR="00A90423" w:rsidRPr="008F0A16" w:rsidRDefault="00A90423" w:rsidP="004A7016">
                            <w:pPr>
                              <w:spacing w:line="216" w:lineRule="auto"/>
                              <w:jc w:val="center"/>
                              <w:rPr>
                                <w:rFonts w:ascii="Calibri Light" w:hAnsi="Calibri Light" w:cs="Calibri Light"/>
                                <w:color w:val="00183D"/>
                                <w:sz w:val="20"/>
                                <w:szCs w:val="18"/>
                                <w:lang w:val="en-CA"/>
                              </w:rPr>
                            </w:pPr>
                          </w:p>
                          <w:p w14:paraId="318667D1"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28B1A00" id="Rectangle 30" o:spid="_x0000_s1030" style="position:absolute;margin-left:2.95pt;margin-top:16.7pt;width:125.85pt;height:2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" filled="f" stroked="f">
                <v:textbox>
                  <w:txbxContent>
                    <w:p w14:paraId="406F6D77" w14:textId="3E779954"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0DC74A9F" w14:textId="77777777" w:rsidR="00A90423" w:rsidRPr="008F0A16" w:rsidRDefault="00A90423" w:rsidP="004A7016">
                      <w:pPr>
                        <w:spacing w:line="216" w:lineRule="auto"/>
                        <w:jc w:val="center"/>
                        <w:rPr>
                          <w:rFonts w:ascii="Calibri Light" w:hAnsi="Calibri Light" w:cs="Calibri Light"/>
                          <w:color w:val="00183D"/>
                          <w:sz w:val="20"/>
                          <w:szCs w:val="18"/>
                          <w:lang w:val="en-CA"/>
                        </w:rPr>
                      </w:pPr>
                    </w:p>
                    <w:p w14:paraId="318667D1"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004A7016" w:rsidRPr="0087712A">
        <w:rPr>
          <w:rFonts w:ascii="Calibri" w:eastAsia="Calibri" w:hAnsi="Calibri" w:cs="Calibri"/>
          <w:b/>
          <w:bCs/>
          <w:color w:val="00183D"/>
          <w:sz w:val="28"/>
          <w:lang w:val="en-GB"/>
        </w:rPr>
        <w:t>USA</w:t>
      </w:r>
    </w:p>
    <w:p w14:paraId="7A5B1276" w14:textId="13582779" w:rsidR="00E740AF" w:rsidRPr="0087712A" w:rsidRDefault="00867A96" w:rsidP="004A7016">
      <w:pPr>
        <w:pStyle w:val="Copy"/>
        <w:jc w:val="both"/>
        <w:rPr>
          <w:rFonts w:ascii="Calibri" w:hAnsi="Calibri" w:cs="Calibri"/>
          <w:color w:val="auto"/>
        </w:rPr>
      </w:pPr>
      <w:r>
        <w:rPr>
          <w:noProof/>
        </w:rPr>
        <mc:AlternateContent>
          <mc:Choice Requires="wps">
            <w:drawing>
              <wp:anchor distT="0" distB="0" distL="114300" distR="114300" simplePos="0" relativeHeight="251658266" behindDoc="0" locked="0" layoutInCell="1" allowOverlap="1" wp14:anchorId="3E1291F5" wp14:editId="264AD8F8">
                <wp:simplePos x="0" y="0"/>
                <wp:positionH relativeFrom="column">
                  <wp:posOffset>3437559</wp:posOffset>
                </wp:positionH>
                <wp:positionV relativeFrom="paragraph">
                  <wp:posOffset>395605</wp:posOffset>
                </wp:positionV>
                <wp:extent cx="1257300" cy="1045210"/>
                <wp:effectExtent l="0" t="0" r="0" b="0"/>
                <wp:wrapNone/>
                <wp:docPr id="38" name="Oval 38"/>
                <wp:cNvGraphicFramePr/>
                <a:graphic xmlns:a="http://schemas.openxmlformats.org/drawingml/2006/main">
                  <a:graphicData uri="http://schemas.microsoft.com/office/word/2010/wordprocessingShape">
                    <wps:wsp>
                      <wps:cNvSpPr/>
                      <wps:spPr>
                        <a:xfrm>
                          <a:off x="0" y="0"/>
                          <a:ext cx="1257300" cy="10452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7EE8D" w14:textId="10BA2E26" w:rsidR="009E5AF8" w:rsidRDefault="009E5AF8" w:rsidP="009E5AF8">
                            <w:pPr>
                              <w:jc w:val="center"/>
                              <w:rPr>
                                <w:rFonts w:asciiTheme="minorHAnsi" w:hAnsi="Tw Cen MT" w:cstheme="minorBidi"/>
                                <w:b/>
                                <w:bCs/>
                                <w:color w:val="00B0F0"/>
                                <w:sz w:val="22"/>
                                <w:szCs w:val="22"/>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Pr="00006AB8">
                              <w:rPr>
                                <w:rFonts w:asciiTheme="minorHAnsi" w:hAnsi="Tw Cen MT" w:cstheme="minorBidi"/>
                                <w:b/>
                                <w:bCs/>
                                <w:color w:val="00B0F0"/>
                                <w:sz w:val="23"/>
                                <w:szCs w:val="23"/>
                              </w:rPr>
                              <w:t>1,452.9m</w:t>
                            </w:r>
                          </w:p>
                          <w:p w14:paraId="3E678571" w14:textId="13349D39" w:rsidR="009E5AF8" w:rsidRPr="001223FC" w:rsidRDefault="009E5AF8" w:rsidP="009E5AF8">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5F64F1" w:rsidRPr="001223FC">
                              <w:rPr>
                                <w:rFonts w:asciiTheme="minorHAnsi" w:hAnsiTheme="minorHAnsi" w:cs="Calibri"/>
                                <w:color w:val="00183D"/>
                                <w:sz w:val="14"/>
                                <w:szCs w:val="14"/>
                              </w:rPr>
                              <w:t>2</w:t>
                            </w:r>
                            <w:r w:rsidR="00F07A78">
                              <w:rPr>
                                <w:rFonts w:asciiTheme="minorHAnsi" w:hAnsiTheme="minorHAnsi" w:cs="Calibri"/>
                                <w:color w:val="00183D"/>
                                <w:sz w:val="14"/>
                                <w:szCs w:val="14"/>
                              </w:rPr>
                              <w:t>83</w:t>
                            </w:r>
                            <w:r w:rsidR="005F64F1" w:rsidRPr="001223FC">
                              <w:rPr>
                                <w:rFonts w:asciiTheme="minorHAnsi" w:hAnsiTheme="minorHAnsi" w:cs="Calibri"/>
                                <w:color w:val="00183D"/>
                                <w:sz w:val="14"/>
                                <w:szCs w:val="14"/>
                              </w:rPr>
                              <w:t>.</w:t>
                            </w:r>
                            <w:r w:rsidR="00F07A78">
                              <w:rPr>
                                <w:rFonts w:asciiTheme="minorHAnsi" w:hAnsiTheme="minorHAnsi" w:cs="Calibri"/>
                                <w:color w:val="00183D"/>
                                <w:sz w:val="14"/>
                                <w:szCs w:val="14"/>
                              </w:rPr>
                              <w:t>3</w:t>
                            </w:r>
                            <w:r w:rsidR="004F6472" w:rsidRPr="001223FC">
                              <w:rPr>
                                <w:rFonts w:asciiTheme="minorHAnsi" w:hAnsiTheme="minorHAnsi" w:cs="Calibri"/>
                                <w:color w:val="00183D"/>
                                <w:sz w:val="14"/>
                                <w:szCs w:val="14"/>
                              </w:rPr>
                              <w:t>m)</w:t>
                            </w:r>
                            <w:r w:rsidRPr="001223FC">
                              <w:rPr>
                                <w:rFonts w:asciiTheme="minorHAnsi" w:hAnsiTheme="minorHAnsi" w:cstheme="minorBidi"/>
                                <w:color w:val="00B0F0"/>
                                <w:sz w:val="16"/>
                                <w:szCs w:val="16"/>
                              </w:rPr>
                              <w:t xml:space="preserve"> </w:t>
                            </w:r>
                          </w:p>
                        </w:txbxContent>
                      </wps:txbx>
                      <wps:bodyPr vertOverflow="clip" wrap="square" anchor="ctr"/>
                    </wps:wsp>
                  </a:graphicData>
                </a:graphic>
                <wp14:sizeRelH relativeFrom="margin">
                  <wp14:pctWidth>0</wp14:pctWidth>
                </wp14:sizeRelH>
                <wp14:sizeRelV relativeFrom="margin">
                  <wp14:pctHeight>0</wp14:pctHeight>
                </wp14:sizeRelV>
              </wp:anchor>
            </w:drawing>
          </mc:Choice>
          <mc:Fallback>
            <w:pict>
              <v:oval w14:anchorId="3E1291F5" id="Oval 38" o:spid="_x0000_s1031" style="position:absolute;left:0;text-align:left;margin-left:270.65pt;margin-top:31.15pt;width:99pt;height:82.3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" filled="f" stroked="f" strokeweight="1.25pt">
                <v:textbox>
                  <w:txbxContent>
                    <w:p w14:paraId="6E57EE8D" w14:textId="10BA2E26" w:rsidR="009E5AF8" w:rsidRDefault="009E5AF8" w:rsidP="009E5AF8">
                      <w:pPr>
                        <w:jc w:val="center"/>
                        <w:rPr>
                          <w:rFonts w:asciiTheme="minorHAnsi" w:hAnsi="Tw Cen MT" w:cstheme="minorBidi"/>
                          <w:b/>
                          <w:bCs/>
                          <w:color w:val="00B0F0"/>
                          <w:sz w:val="22"/>
                          <w:szCs w:val="22"/>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Pr="00006AB8">
                        <w:rPr>
                          <w:rFonts w:asciiTheme="minorHAnsi" w:hAnsi="Tw Cen MT" w:cstheme="minorBidi"/>
                          <w:b/>
                          <w:bCs/>
                          <w:color w:val="00B0F0"/>
                          <w:sz w:val="23"/>
                          <w:szCs w:val="23"/>
                        </w:rPr>
                        <w:t>1,452.9m</w:t>
                      </w:r>
                    </w:p>
                    <w:p w14:paraId="3E678571" w14:textId="13349D39" w:rsidR="009E5AF8" w:rsidRPr="001223FC" w:rsidRDefault="009E5AF8" w:rsidP="009E5AF8">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5F64F1" w:rsidRPr="001223FC">
                        <w:rPr>
                          <w:rFonts w:asciiTheme="minorHAnsi" w:hAnsiTheme="minorHAnsi" w:cs="Calibri"/>
                          <w:color w:val="00183D"/>
                          <w:sz w:val="14"/>
                          <w:szCs w:val="14"/>
                        </w:rPr>
                        <w:t>2</w:t>
                      </w:r>
                      <w:r w:rsidR="00F07A78">
                        <w:rPr>
                          <w:rFonts w:asciiTheme="minorHAnsi" w:hAnsiTheme="minorHAnsi" w:cs="Calibri"/>
                          <w:color w:val="00183D"/>
                          <w:sz w:val="14"/>
                          <w:szCs w:val="14"/>
                        </w:rPr>
                        <w:t>83</w:t>
                      </w:r>
                      <w:r w:rsidR="005F64F1" w:rsidRPr="001223FC">
                        <w:rPr>
                          <w:rFonts w:asciiTheme="minorHAnsi" w:hAnsiTheme="minorHAnsi" w:cs="Calibri"/>
                          <w:color w:val="00183D"/>
                          <w:sz w:val="14"/>
                          <w:szCs w:val="14"/>
                        </w:rPr>
                        <w:t>.</w:t>
                      </w:r>
                      <w:r w:rsidR="00F07A78">
                        <w:rPr>
                          <w:rFonts w:asciiTheme="minorHAnsi" w:hAnsiTheme="minorHAnsi" w:cs="Calibri"/>
                          <w:color w:val="00183D"/>
                          <w:sz w:val="14"/>
                          <w:szCs w:val="14"/>
                        </w:rPr>
                        <w:t>3</w:t>
                      </w:r>
                      <w:r w:rsidR="004F6472" w:rsidRPr="001223FC">
                        <w:rPr>
                          <w:rFonts w:asciiTheme="minorHAnsi" w:hAnsiTheme="minorHAnsi" w:cs="Calibri"/>
                          <w:color w:val="00183D"/>
                          <w:sz w:val="14"/>
                          <w:szCs w:val="14"/>
                        </w:rPr>
                        <w:t>m)</w:t>
                      </w:r>
                      <w:r w:rsidRPr="001223FC">
                        <w:rPr>
                          <w:rFonts w:asciiTheme="minorHAnsi" w:hAnsiTheme="minorHAnsi" w:cstheme="minorBidi"/>
                          <w:color w:val="00B0F0"/>
                          <w:sz w:val="16"/>
                          <w:szCs w:val="16"/>
                        </w:rPr>
                        <w:t xml:space="preserve"> </w:t>
                      </w:r>
                    </w:p>
                  </w:txbxContent>
                </v:textbox>
              </v:oval>
            </w:pict>
          </mc:Fallback>
        </mc:AlternateContent>
      </w:r>
      <w:r>
        <w:rPr>
          <w:noProof/>
        </w:rPr>
        <mc:AlternateContent>
          <mc:Choice Requires="wps">
            <w:drawing>
              <wp:anchor distT="0" distB="0" distL="114300" distR="114300" simplePos="0" relativeHeight="251658265" behindDoc="0" locked="0" layoutInCell="1" allowOverlap="1" wp14:anchorId="7AC613E8" wp14:editId="0012FC6C">
                <wp:simplePos x="0" y="0"/>
                <wp:positionH relativeFrom="column">
                  <wp:posOffset>1817370</wp:posOffset>
                </wp:positionH>
                <wp:positionV relativeFrom="paragraph">
                  <wp:posOffset>396469</wp:posOffset>
                </wp:positionV>
                <wp:extent cx="1257300" cy="1045210"/>
                <wp:effectExtent l="0" t="0" r="0" b="0"/>
                <wp:wrapNone/>
                <wp:docPr id="37" name="Oval 37"/>
                <wp:cNvGraphicFramePr/>
                <a:graphic xmlns:a="http://schemas.openxmlformats.org/drawingml/2006/main">
                  <a:graphicData uri="http://schemas.microsoft.com/office/word/2010/wordprocessingShape">
                    <wps:wsp>
                      <wps:cNvSpPr/>
                      <wps:spPr>
                        <a:xfrm>
                          <a:off x="0" y="0"/>
                          <a:ext cx="1257300" cy="10452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9632C" w14:textId="60F7E620" w:rsidR="006F43DF" w:rsidRPr="00006AB8" w:rsidRDefault="006F43DF" w:rsidP="006F43DF">
                            <w:pPr>
                              <w:jc w:val="center"/>
                              <w:rPr>
                                <w:rFonts w:asciiTheme="minorHAnsi" w:hAnsi="Tw Cen MT" w:cstheme="minorBidi"/>
                                <w:b/>
                                <w:bCs/>
                                <w:color w:val="00B0F0"/>
                                <w:sz w:val="23"/>
                                <w:szCs w:val="23"/>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Pr="00006AB8">
                              <w:rPr>
                                <w:rFonts w:asciiTheme="minorHAnsi" w:hAnsi="Tw Cen MT" w:cstheme="minorBidi"/>
                                <w:b/>
                                <w:bCs/>
                                <w:color w:val="00B0F0"/>
                                <w:sz w:val="23"/>
                                <w:szCs w:val="23"/>
                              </w:rPr>
                              <w:t>194.8m</w:t>
                            </w:r>
                          </w:p>
                          <w:p w14:paraId="316E3DE4" w14:textId="7BB719E3" w:rsidR="006F43DF" w:rsidRPr="001223FC" w:rsidRDefault="006F43DF" w:rsidP="006F43DF">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B66CAB" w:rsidRPr="001223FC">
                              <w:rPr>
                                <w:rFonts w:asciiTheme="minorHAnsi" w:hAnsiTheme="minorHAnsi" w:cs="Calibri"/>
                                <w:color w:val="00183D"/>
                                <w:sz w:val="14"/>
                                <w:szCs w:val="14"/>
                              </w:rPr>
                              <w:t>87.3m</w:t>
                            </w:r>
                            <w:r w:rsidR="004F6472" w:rsidRPr="001223FC">
                              <w:rPr>
                                <w:rFonts w:asciiTheme="minorHAnsi" w:hAnsiTheme="minorHAnsi" w:cs="Calibri"/>
                                <w:color w:val="00183D"/>
                                <w:sz w:val="14"/>
                                <w:szCs w:val="14"/>
                              </w:rPr>
                              <w:t>)</w:t>
                            </w:r>
                            <w:r w:rsidRPr="001223FC">
                              <w:rPr>
                                <w:rFonts w:asciiTheme="minorHAnsi" w:hAnsiTheme="minorHAnsi" w:cstheme="minorBidi"/>
                                <w:color w:val="00B0F0"/>
                                <w:sz w:val="16"/>
                                <w:szCs w:val="16"/>
                              </w:rPr>
                              <w:t xml:space="preserve"> </w:t>
                            </w:r>
                          </w:p>
                        </w:txbxContent>
                      </wps:txbx>
                      <wps:bodyPr vertOverflow="clip" wrap="square" anchor="ctr"/>
                    </wps:wsp>
                  </a:graphicData>
                </a:graphic>
                <wp14:sizeRelH relativeFrom="margin">
                  <wp14:pctWidth>0</wp14:pctWidth>
                </wp14:sizeRelH>
                <wp14:sizeRelV relativeFrom="margin">
                  <wp14:pctHeight>0</wp14:pctHeight>
                </wp14:sizeRelV>
              </wp:anchor>
            </w:drawing>
          </mc:Choice>
          <mc:Fallback>
            <w:pict>
              <v:oval w14:anchorId="7AC613E8" id="Oval 37" o:spid="_x0000_s1032" style="position:absolute;left:0;text-align:left;margin-left:143.1pt;margin-top:31.2pt;width:99pt;height:82.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" filled="f" stroked="f" strokeweight="1.25pt">
                <v:textbox>
                  <w:txbxContent>
                    <w:p w14:paraId="0349632C" w14:textId="60F7E620" w:rsidR="006F43DF" w:rsidRPr="00006AB8" w:rsidRDefault="006F43DF" w:rsidP="006F43DF">
                      <w:pPr>
                        <w:jc w:val="center"/>
                        <w:rPr>
                          <w:rFonts w:asciiTheme="minorHAnsi" w:hAnsi="Tw Cen MT" w:cstheme="minorBidi"/>
                          <w:b/>
                          <w:bCs/>
                          <w:color w:val="00B0F0"/>
                          <w:sz w:val="23"/>
                          <w:szCs w:val="23"/>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Pr="00006AB8">
                        <w:rPr>
                          <w:rFonts w:asciiTheme="minorHAnsi" w:hAnsi="Tw Cen MT" w:cstheme="minorBidi"/>
                          <w:b/>
                          <w:bCs/>
                          <w:color w:val="00B0F0"/>
                          <w:sz w:val="23"/>
                          <w:szCs w:val="23"/>
                        </w:rPr>
                        <w:t>194.8m</w:t>
                      </w:r>
                    </w:p>
                    <w:p w14:paraId="316E3DE4" w14:textId="7BB719E3" w:rsidR="006F43DF" w:rsidRPr="001223FC" w:rsidRDefault="006F43DF" w:rsidP="006F43DF">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B66CAB" w:rsidRPr="001223FC">
                        <w:rPr>
                          <w:rFonts w:asciiTheme="minorHAnsi" w:hAnsiTheme="minorHAnsi" w:cs="Calibri"/>
                          <w:color w:val="00183D"/>
                          <w:sz w:val="14"/>
                          <w:szCs w:val="14"/>
                        </w:rPr>
                        <w:t>87.3m</w:t>
                      </w:r>
                      <w:r w:rsidR="004F6472" w:rsidRPr="001223FC">
                        <w:rPr>
                          <w:rFonts w:asciiTheme="minorHAnsi" w:hAnsiTheme="minorHAnsi" w:cs="Calibri"/>
                          <w:color w:val="00183D"/>
                          <w:sz w:val="14"/>
                          <w:szCs w:val="14"/>
                        </w:rPr>
                        <w:t>)</w:t>
                      </w:r>
                      <w:r w:rsidRPr="001223FC">
                        <w:rPr>
                          <w:rFonts w:asciiTheme="minorHAnsi" w:hAnsiTheme="minorHAnsi" w:cstheme="minorBidi"/>
                          <w:color w:val="00B0F0"/>
                          <w:sz w:val="16"/>
                          <w:szCs w:val="16"/>
                        </w:rPr>
                        <w:t xml:space="preserve"> </w:t>
                      </w:r>
                    </w:p>
                  </w:txbxContent>
                </v:textbox>
              </v:oval>
            </w:pict>
          </mc:Fallback>
        </mc:AlternateContent>
      </w:r>
      <w:r>
        <w:rPr>
          <w:noProof/>
        </w:rPr>
        <mc:AlternateContent>
          <mc:Choice Requires="wps">
            <w:drawing>
              <wp:anchor distT="0" distB="0" distL="114300" distR="114300" simplePos="0" relativeHeight="251658262" behindDoc="0" locked="0" layoutInCell="1" allowOverlap="1" wp14:anchorId="3E6F6E7D" wp14:editId="39BBA591">
                <wp:simplePos x="0" y="0"/>
                <wp:positionH relativeFrom="column">
                  <wp:posOffset>232410</wp:posOffset>
                </wp:positionH>
                <wp:positionV relativeFrom="paragraph">
                  <wp:posOffset>412927</wp:posOffset>
                </wp:positionV>
                <wp:extent cx="1257300" cy="1045210"/>
                <wp:effectExtent l="0" t="0" r="0" b="0"/>
                <wp:wrapNone/>
                <wp:docPr id="32" name="Oval 32"/>
                <wp:cNvGraphicFramePr/>
                <a:graphic xmlns:a="http://schemas.openxmlformats.org/drawingml/2006/main">
                  <a:graphicData uri="http://schemas.microsoft.com/office/word/2010/wordprocessingShape">
                    <wps:wsp>
                      <wps:cNvSpPr/>
                      <wps:spPr>
                        <a:xfrm>
                          <a:off x="0" y="0"/>
                          <a:ext cx="1257300" cy="10452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C101B" w14:textId="4347E6E2" w:rsidR="00214006" w:rsidRDefault="00214006" w:rsidP="00214006">
                            <w:pPr>
                              <w:jc w:val="center"/>
                              <w:rPr>
                                <w:rFonts w:asciiTheme="minorHAnsi" w:hAnsi="Tw Cen MT" w:cstheme="minorBidi"/>
                                <w:b/>
                                <w:bCs/>
                                <w:color w:val="00B0F0"/>
                                <w:sz w:val="22"/>
                                <w:szCs w:val="22"/>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00947485" w:rsidRPr="00006AB8">
                              <w:rPr>
                                <w:rFonts w:asciiTheme="minorHAnsi" w:hAnsi="Tw Cen MT" w:cstheme="minorBidi"/>
                                <w:b/>
                                <w:bCs/>
                                <w:color w:val="00B0F0"/>
                                <w:sz w:val="23"/>
                                <w:szCs w:val="23"/>
                              </w:rPr>
                              <w:t>1,377</w:t>
                            </w:r>
                            <w:r w:rsidRPr="00006AB8">
                              <w:rPr>
                                <w:rFonts w:asciiTheme="minorHAnsi" w:hAnsi="Tw Cen MT" w:cstheme="minorBidi"/>
                                <w:b/>
                                <w:bCs/>
                                <w:color w:val="00B0F0"/>
                                <w:sz w:val="23"/>
                                <w:szCs w:val="23"/>
                              </w:rPr>
                              <w:t>.</w:t>
                            </w:r>
                            <w:r w:rsidR="00947485" w:rsidRPr="00006AB8">
                              <w:rPr>
                                <w:rFonts w:asciiTheme="minorHAnsi" w:hAnsi="Tw Cen MT" w:cstheme="minorBidi"/>
                                <w:b/>
                                <w:bCs/>
                                <w:color w:val="00B0F0"/>
                                <w:sz w:val="23"/>
                                <w:szCs w:val="23"/>
                              </w:rPr>
                              <w:t>2</w:t>
                            </w:r>
                            <w:r w:rsidRPr="00006AB8">
                              <w:rPr>
                                <w:rFonts w:asciiTheme="minorHAnsi" w:hAnsi="Tw Cen MT" w:cstheme="minorBidi"/>
                                <w:b/>
                                <w:bCs/>
                                <w:color w:val="00B0F0"/>
                                <w:sz w:val="23"/>
                                <w:szCs w:val="23"/>
                              </w:rPr>
                              <w:t>m</w:t>
                            </w:r>
                          </w:p>
                          <w:p w14:paraId="38713349" w14:textId="2C71B833" w:rsidR="00214006" w:rsidRPr="001223FC" w:rsidRDefault="006F43DF" w:rsidP="00214006">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2608F8" w:rsidRPr="001223FC">
                              <w:rPr>
                                <w:rFonts w:asciiTheme="minorHAnsi" w:hAnsiTheme="minorHAnsi" w:cs="Calibri"/>
                                <w:color w:val="00183D"/>
                                <w:sz w:val="14"/>
                                <w:szCs w:val="14"/>
                              </w:rPr>
                              <w:t>163.8</w:t>
                            </w:r>
                            <w:r w:rsidR="00B66CAB" w:rsidRPr="001223FC">
                              <w:rPr>
                                <w:rFonts w:asciiTheme="minorHAnsi" w:hAnsiTheme="minorHAnsi" w:cs="Calibri"/>
                                <w:color w:val="00183D"/>
                                <w:sz w:val="14"/>
                                <w:szCs w:val="14"/>
                              </w:rPr>
                              <w:t>m)</w:t>
                            </w:r>
                            <w:r w:rsidRPr="001223FC">
                              <w:rPr>
                                <w:rFonts w:asciiTheme="minorHAnsi" w:hAnsiTheme="minorHAnsi" w:cstheme="minorBidi"/>
                                <w:color w:val="00B0F0"/>
                                <w:sz w:val="16"/>
                                <w:szCs w:val="16"/>
                              </w:rPr>
                              <w:t xml:space="preserve"> </w:t>
                            </w:r>
                          </w:p>
                        </w:txbxContent>
                      </wps:txbx>
                      <wps:bodyPr vertOverflow="clip" wrap="square" anchor="ctr"/>
                    </wps:wsp>
                  </a:graphicData>
                </a:graphic>
                <wp14:sizeRelH relativeFrom="margin">
                  <wp14:pctWidth>0</wp14:pctWidth>
                </wp14:sizeRelH>
                <wp14:sizeRelV relativeFrom="margin">
                  <wp14:pctHeight>0</wp14:pctHeight>
                </wp14:sizeRelV>
              </wp:anchor>
            </w:drawing>
          </mc:Choice>
          <mc:Fallback>
            <w:pict>
              <v:oval w14:anchorId="3E6F6E7D" id="Oval 32" o:spid="_x0000_s1033" style="position:absolute;left:0;text-align:left;margin-left:18.3pt;margin-top:32.5pt;width:99pt;height:82.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" filled="f" stroked="f" strokeweight="1.25pt">
                <v:textbox>
                  <w:txbxContent>
                    <w:p w14:paraId="601C101B" w14:textId="4347E6E2" w:rsidR="00214006" w:rsidRDefault="00214006" w:rsidP="00214006">
                      <w:pPr>
                        <w:jc w:val="center"/>
                        <w:rPr>
                          <w:rFonts w:asciiTheme="minorHAnsi" w:hAnsi="Tw Cen MT" w:cstheme="minorBidi"/>
                          <w:b/>
                          <w:bCs/>
                          <w:color w:val="00B0F0"/>
                          <w:sz w:val="22"/>
                          <w:szCs w:val="22"/>
                        </w:rPr>
                      </w:pPr>
                      <w:r w:rsidRPr="00214006">
                        <w:rPr>
                          <w:rFonts w:ascii="Calibri" w:hAnsi="Calibri" w:cs="Calibri"/>
                          <w:b/>
                          <w:bCs/>
                          <w:color w:val="00183D"/>
                          <w:sz w:val="20"/>
                          <w:szCs w:val="20"/>
                          <w:lang w:val="el-GR"/>
                        </w:rPr>
                        <w:t>$</w:t>
                      </w:r>
                      <w:r w:rsidRPr="00214006">
                        <w:rPr>
                          <w:rFonts w:asciiTheme="minorHAnsi" w:hAnsi="Calibri" w:cstheme="minorBidi"/>
                          <w:b/>
                          <w:bCs/>
                          <w:color w:val="00183D"/>
                          <w:sz w:val="20"/>
                          <w:szCs w:val="20"/>
                          <w:lang w:val="el-GR"/>
                        </w:rPr>
                        <w:t xml:space="preserve"> </w:t>
                      </w:r>
                      <w:r w:rsidR="00947485" w:rsidRPr="00006AB8">
                        <w:rPr>
                          <w:rFonts w:asciiTheme="minorHAnsi" w:hAnsi="Tw Cen MT" w:cstheme="minorBidi"/>
                          <w:b/>
                          <w:bCs/>
                          <w:color w:val="00B0F0"/>
                          <w:sz w:val="23"/>
                          <w:szCs w:val="23"/>
                        </w:rPr>
                        <w:t>1,377</w:t>
                      </w:r>
                      <w:r w:rsidRPr="00006AB8">
                        <w:rPr>
                          <w:rFonts w:asciiTheme="minorHAnsi" w:hAnsi="Tw Cen MT" w:cstheme="minorBidi"/>
                          <w:b/>
                          <w:bCs/>
                          <w:color w:val="00B0F0"/>
                          <w:sz w:val="23"/>
                          <w:szCs w:val="23"/>
                        </w:rPr>
                        <w:t>.</w:t>
                      </w:r>
                      <w:r w:rsidR="00947485" w:rsidRPr="00006AB8">
                        <w:rPr>
                          <w:rFonts w:asciiTheme="minorHAnsi" w:hAnsi="Tw Cen MT" w:cstheme="minorBidi"/>
                          <w:b/>
                          <w:bCs/>
                          <w:color w:val="00B0F0"/>
                          <w:sz w:val="23"/>
                          <w:szCs w:val="23"/>
                        </w:rPr>
                        <w:t>2</w:t>
                      </w:r>
                      <w:r w:rsidRPr="00006AB8">
                        <w:rPr>
                          <w:rFonts w:asciiTheme="minorHAnsi" w:hAnsi="Tw Cen MT" w:cstheme="minorBidi"/>
                          <w:b/>
                          <w:bCs/>
                          <w:color w:val="00B0F0"/>
                          <w:sz w:val="23"/>
                          <w:szCs w:val="23"/>
                        </w:rPr>
                        <w:t>m</w:t>
                      </w:r>
                    </w:p>
                    <w:p w14:paraId="38713349" w14:textId="2C71B833" w:rsidR="00214006" w:rsidRPr="001223FC" w:rsidRDefault="006F43DF" w:rsidP="00214006">
                      <w:pPr>
                        <w:jc w:val="center"/>
                        <w:rPr>
                          <w:rFonts w:asciiTheme="minorHAnsi" w:hAnsiTheme="minorHAnsi" w:cstheme="minorBidi"/>
                          <w:color w:val="00183D"/>
                          <w:sz w:val="14"/>
                          <w:szCs w:val="14"/>
                          <w:lang w:val="el-GR"/>
                        </w:rPr>
                      </w:pPr>
                      <w:r w:rsidRPr="001223FC">
                        <w:rPr>
                          <w:rFonts w:asciiTheme="minorHAnsi" w:hAnsiTheme="minorHAnsi" w:cs="Calibri"/>
                          <w:color w:val="00183D"/>
                          <w:sz w:val="14"/>
                          <w:szCs w:val="14"/>
                          <w:lang w:val="el-GR"/>
                        </w:rPr>
                        <w:t>(2021:</w:t>
                      </w:r>
                      <w:r w:rsidRPr="001223FC">
                        <w:rPr>
                          <w:rFonts w:asciiTheme="minorHAnsi" w:hAnsiTheme="minorHAnsi" w:cstheme="minorBidi"/>
                          <w:color w:val="00B0F0"/>
                          <w:sz w:val="16"/>
                          <w:szCs w:val="16"/>
                        </w:rPr>
                        <w:t xml:space="preserve"> </w:t>
                      </w:r>
                      <w:r w:rsidRPr="001223FC">
                        <w:rPr>
                          <w:rFonts w:asciiTheme="minorHAnsi" w:hAnsiTheme="minorHAnsi" w:cs="Calibri"/>
                          <w:color w:val="00183D"/>
                          <w:sz w:val="14"/>
                          <w:szCs w:val="14"/>
                          <w:lang w:val="el-GR"/>
                        </w:rPr>
                        <w:t>$</w:t>
                      </w:r>
                      <w:r w:rsidRPr="001223FC">
                        <w:rPr>
                          <w:rFonts w:asciiTheme="minorHAnsi" w:hAnsiTheme="minorHAnsi" w:cs="Calibri"/>
                          <w:color w:val="00183D"/>
                          <w:sz w:val="14"/>
                          <w:szCs w:val="14"/>
                        </w:rPr>
                        <w:t>1,</w:t>
                      </w:r>
                      <w:r w:rsidR="002608F8" w:rsidRPr="001223FC">
                        <w:rPr>
                          <w:rFonts w:asciiTheme="minorHAnsi" w:hAnsiTheme="minorHAnsi" w:cs="Calibri"/>
                          <w:color w:val="00183D"/>
                          <w:sz w:val="14"/>
                          <w:szCs w:val="14"/>
                        </w:rPr>
                        <w:t>163.8</w:t>
                      </w:r>
                      <w:r w:rsidR="00B66CAB" w:rsidRPr="001223FC">
                        <w:rPr>
                          <w:rFonts w:asciiTheme="minorHAnsi" w:hAnsiTheme="minorHAnsi" w:cs="Calibri"/>
                          <w:color w:val="00183D"/>
                          <w:sz w:val="14"/>
                          <w:szCs w:val="14"/>
                        </w:rPr>
                        <w:t>m)</w:t>
                      </w:r>
                      <w:r w:rsidRPr="001223FC">
                        <w:rPr>
                          <w:rFonts w:asciiTheme="minorHAnsi" w:hAnsiTheme="minorHAnsi" w:cstheme="minorBidi"/>
                          <w:color w:val="00B0F0"/>
                          <w:sz w:val="16"/>
                          <w:szCs w:val="16"/>
                        </w:rPr>
                        <w:t xml:space="preserve"> </w:t>
                      </w:r>
                    </w:p>
                  </w:txbxContent>
                </v:textbox>
              </v:oval>
            </w:pict>
          </mc:Fallback>
        </mc:AlternateContent>
      </w:r>
      <w:r w:rsidR="00936700" w:rsidRPr="0087712A">
        <w:rPr>
          <w:rFonts w:ascii="Calibri" w:hAnsi="Calibri" w:cs="Calibri"/>
          <w:noProof/>
        </w:rPr>
        <w:drawing>
          <wp:inline distT="0" distB="0" distL="0" distR="0" wp14:anchorId="1727DDAC" wp14:editId="1BE47D89">
            <wp:extent cx="1628775" cy="1428750"/>
            <wp:effectExtent l="0" t="0" r="0" b="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36700" w:rsidRPr="0087712A">
        <w:rPr>
          <w:rFonts w:ascii="Calibri" w:hAnsi="Calibri" w:cs="Calibri"/>
          <w:noProof/>
        </w:rPr>
        <w:drawing>
          <wp:inline distT="0" distB="0" distL="0" distR="0" wp14:anchorId="306008F8" wp14:editId="100F166A">
            <wp:extent cx="1571625" cy="1390650"/>
            <wp:effectExtent l="0" t="0" r="0" b="0"/>
            <wp:docPr id="2" name="Chart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36700" w:rsidRPr="0087712A">
        <w:rPr>
          <w:rFonts w:ascii="Calibri" w:hAnsi="Calibri" w:cs="Calibri"/>
          <w:noProof/>
          <w:sz w:val="18"/>
          <w:szCs w:val="16"/>
        </w:rPr>
        <w:drawing>
          <wp:inline distT="0" distB="0" distL="0" distR="0" wp14:anchorId="3E61AC6F" wp14:editId="12735CB7">
            <wp:extent cx="1657350" cy="1295400"/>
            <wp:effectExtent l="0" t="0" r="0" b="0"/>
            <wp:docPr id="4" name="Chart 4">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C7C224" w14:textId="44E89E45" w:rsidR="002F49B2" w:rsidRPr="002F49B2" w:rsidRDefault="002F49B2" w:rsidP="002F49B2">
      <w:pPr>
        <w:spacing w:after="120"/>
        <w:jc w:val="both"/>
        <w:rPr>
          <w:rFonts w:ascii="Calibri" w:eastAsia="Calibri" w:hAnsi="Calibri" w:cs="Calibri"/>
          <w:color w:val="00183D"/>
          <w:sz w:val="21"/>
          <w:szCs w:val="21"/>
        </w:rPr>
      </w:pPr>
      <w:r w:rsidRPr="002F49B2">
        <w:rPr>
          <w:rFonts w:ascii="Calibri" w:eastAsia="Calibri" w:hAnsi="Calibri" w:cs="Calibri"/>
          <w:color w:val="00183D"/>
          <w:sz w:val="21"/>
          <w:szCs w:val="21"/>
        </w:rPr>
        <w:t>Titan America delivered a year of robust growth in 2022 as well as in the last quarter, both in terms of sales and profitability, the latter underscoring the full effect of success</w:t>
      </w:r>
      <w:r w:rsidR="00C56ACC">
        <w:rPr>
          <w:rFonts w:ascii="Calibri" w:eastAsia="Calibri" w:hAnsi="Calibri" w:cs="Calibri"/>
          <w:color w:val="00183D"/>
          <w:sz w:val="21"/>
          <w:szCs w:val="21"/>
        </w:rPr>
        <w:t>ful</w:t>
      </w:r>
      <w:r w:rsidRPr="002F49B2">
        <w:rPr>
          <w:rFonts w:ascii="Calibri" w:eastAsia="Calibri" w:hAnsi="Calibri" w:cs="Calibri"/>
          <w:color w:val="00183D"/>
          <w:sz w:val="21"/>
          <w:szCs w:val="21"/>
        </w:rPr>
        <w:t xml:space="preserve"> price increases implemented throughout the year. Our markets grew again significantly above the US average, as our customers saw their activities expand and their backlogs increase. </w:t>
      </w:r>
    </w:p>
    <w:p w14:paraId="356FB6D2" w14:textId="30613311" w:rsidR="002F49B2" w:rsidRPr="002F49B2" w:rsidRDefault="002F49B2" w:rsidP="002F49B2">
      <w:pPr>
        <w:spacing w:after="120"/>
        <w:jc w:val="both"/>
        <w:rPr>
          <w:rFonts w:ascii="Calibri" w:eastAsia="Calibri" w:hAnsi="Calibri" w:cs="Calibri"/>
          <w:color w:val="00183D"/>
          <w:sz w:val="21"/>
          <w:szCs w:val="21"/>
        </w:rPr>
      </w:pPr>
      <w:r w:rsidRPr="002F49B2">
        <w:rPr>
          <w:rFonts w:ascii="Calibri" w:eastAsia="Calibri" w:hAnsi="Calibri" w:cs="Calibri"/>
          <w:color w:val="00183D"/>
          <w:sz w:val="21"/>
          <w:szCs w:val="21"/>
        </w:rPr>
        <w:t xml:space="preserve">Substantial progress was made on capital expenditure projects, including works at the Norfolk and Tampa import terminals and related rail logistics facilities, all designed to accommodate expected higher volumes and de-bottleneck logistics constraints. </w:t>
      </w:r>
      <w:r w:rsidR="00C56ACC">
        <w:rPr>
          <w:rFonts w:ascii="Calibri" w:eastAsia="Calibri" w:hAnsi="Calibri" w:cs="Calibri"/>
          <w:color w:val="00183D"/>
          <w:sz w:val="21"/>
          <w:szCs w:val="21"/>
        </w:rPr>
        <w:t xml:space="preserve">Our cement sales volume increased, especially </w:t>
      </w:r>
      <w:r w:rsidR="00F60065">
        <w:rPr>
          <w:rFonts w:ascii="Calibri" w:eastAsia="Calibri" w:hAnsi="Calibri" w:cs="Calibri"/>
          <w:color w:val="00183D"/>
          <w:sz w:val="21"/>
          <w:szCs w:val="21"/>
        </w:rPr>
        <w:t>in Florida</w:t>
      </w:r>
      <w:r w:rsidR="007E46D4">
        <w:rPr>
          <w:rFonts w:ascii="Calibri" w:eastAsia="Calibri" w:hAnsi="Calibri" w:cs="Calibri"/>
          <w:color w:val="00183D"/>
          <w:sz w:val="21"/>
          <w:szCs w:val="21"/>
        </w:rPr>
        <w:t xml:space="preserve"> where housing demand and related nonresidential and infrastructure construction spending continued to grow</w:t>
      </w:r>
      <w:r w:rsidR="00F60065">
        <w:rPr>
          <w:rFonts w:ascii="Calibri" w:eastAsia="Calibri" w:hAnsi="Calibri" w:cs="Calibri"/>
          <w:color w:val="00183D"/>
          <w:sz w:val="21"/>
          <w:szCs w:val="21"/>
        </w:rPr>
        <w:t xml:space="preserve">. </w:t>
      </w:r>
      <w:r w:rsidRPr="002F49B2">
        <w:rPr>
          <w:rFonts w:ascii="Calibri" w:eastAsia="Calibri" w:hAnsi="Calibri" w:cs="Calibri"/>
          <w:color w:val="00183D"/>
          <w:sz w:val="21"/>
          <w:szCs w:val="21"/>
        </w:rPr>
        <w:t xml:space="preserve">The Group’s operations in the US showed an improvement in the fuel mix and a reduction in the </w:t>
      </w:r>
      <w:r w:rsidR="00D85727">
        <w:rPr>
          <w:rFonts w:ascii="Calibri" w:eastAsia="Calibri" w:hAnsi="Calibri" w:cs="Calibri"/>
          <w:color w:val="00183D"/>
          <w:sz w:val="21"/>
          <w:szCs w:val="21"/>
        </w:rPr>
        <w:t>clinker-to-cement</w:t>
      </w:r>
      <w:r w:rsidRPr="002F49B2">
        <w:rPr>
          <w:rFonts w:ascii="Calibri" w:eastAsia="Calibri" w:hAnsi="Calibri" w:cs="Calibri"/>
          <w:color w:val="00183D"/>
          <w:sz w:val="21"/>
          <w:szCs w:val="21"/>
        </w:rPr>
        <w:t xml:space="preserve"> ratio, driven by the full conversion to lower-carbon Type IL cement. There was also a reduction of CO</w:t>
      </w:r>
      <w:r w:rsidRPr="00F60065">
        <w:rPr>
          <w:rFonts w:ascii="Calibri" w:eastAsia="Calibri" w:hAnsi="Calibri" w:cs="Calibri"/>
          <w:color w:val="00183D"/>
          <w:sz w:val="21"/>
          <w:szCs w:val="21"/>
          <w:vertAlign w:val="subscript"/>
        </w:rPr>
        <w:t>2</w:t>
      </w:r>
      <w:r w:rsidRPr="002F49B2">
        <w:rPr>
          <w:rFonts w:ascii="Calibri" w:eastAsia="Calibri" w:hAnsi="Calibri" w:cs="Calibri"/>
          <w:color w:val="00183D"/>
          <w:sz w:val="21"/>
          <w:szCs w:val="21"/>
        </w:rPr>
        <w:t xml:space="preserve"> (net Scope 1) emissions by 9%. The digitalization systems implemented in both cement plants (end-to-end RTOs in the cement production equipment and failure prediction detection solutions) provided </w:t>
      </w:r>
      <w:r w:rsidR="004E1309">
        <w:rPr>
          <w:rFonts w:ascii="Calibri" w:eastAsia="Calibri" w:hAnsi="Calibri" w:cs="Calibri"/>
          <w:color w:val="00183D"/>
          <w:sz w:val="21"/>
          <w:szCs w:val="21"/>
        </w:rPr>
        <w:t xml:space="preserve">significant </w:t>
      </w:r>
      <w:r w:rsidRPr="002F49B2">
        <w:rPr>
          <w:rFonts w:ascii="Calibri" w:eastAsia="Calibri" w:hAnsi="Calibri" w:cs="Calibri"/>
          <w:color w:val="00183D"/>
          <w:sz w:val="21"/>
          <w:szCs w:val="21"/>
        </w:rPr>
        <w:t>efficiency improvements and financial benefits for Titan America. Persistent cost challenges across all cost inputs, including solid fuels, electricity, transportation, and labor were effectively counterbalanced by successful price increases</w:t>
      </w:r>
      <w:r w:rsidR="003E7543">
        <w:rPr>
          <w:rFonts w:ascii="Calibri" w:eastAsia="Calibri" w:hAnsi="Calibri" w:cs="Calibri"/>
          <w:color w:val="00183D"/>
          <w:sz w:val="21"/>
          <w:szCs w:val="21"/>
        </w:rPr>
        <w:t xml:space="preserve"> and cost improvements</w:t>
      </w:r>
      <w:r w:rsidRPr="002F49B2">
        <w:rPr>
          <w:rFonts w:ascii="Calibri" w:eastAsia="Calibri" w:hAnsi="Calibri" w:cs="Calibri"/>
          <w:color w:val="00183D"/>
          <w:sz w:val="21"/>
          <w:szCs w:val="21"/>
        </w:rPr>
        <w:t xml:space="preserve"> </w:t>
      </w:r>
      <w:r w:rsidR="00D85727">
        <w:rPr>
          <w:rFonts w:ascii="Calibri" w:eastAsia="Calibri" w:hAnsi="Calibri" w:cs="Calibri"/>
          <w:color w:val="00183D"/>
          <w:sz w:val="21"/>
          <w:szCs w:val="21"/>
        </w:rPr>
        <w:t xml:space="preserve">along </w:t>
      </w:r>
      <w:r w:rsidRPr="002F49B2">
        <w:rPr>
          <w:rFonts w:ascii="Calibri" w:eastAsia="Calibri" w:hAnsi="Calibri" w:cs="Calibri"/>
          <w:color w:val="00183D"/>
          <w:sz w:val="21"/>
          <w:szCs w:val="21"/>
        </w:rPr>
        <w:t>the year.</w:t>
      </w:r>
    </w:p>
    <w:p w14:paraId="3D64098F" w14:textId="0572268B" w:rsidR="002F49B2" w:rsidRDefault="002F49B2" w:rsidP="002F49B2">
      <w:pPr>
        <w:spacing w:after="120"/>
        <w:jc w:val="both"/>
        <w:rPr>
          <w:rFonts w:ascii="Calibri" w:eastAsia="Calibri" w:hAnsi="Calibri" w:cs="Calibri"/>
          <w:color w:val="00183D"/>
          <w:sz w:val="21"/>
          <w:szCs w:val="21"/>
        </w:rPr>
      </w:pPr>
      <w:r w:rsidRPr="002F49B2">
        <w:rPr>
          <w:rFonts w:ascii="Calibri" w:eastAsia="Calibri" w:hAnsi="Calibri" w:cs="Calibri"/>
          <w:color w:val="00183D"/>
          <w:sz w:val="21"/>
          <w:szCs w:val="21"/>
        </w:rPr>
        <w:t xml:space="preserve">Florida had been one of the US states benefiting the most from internal population migration, supported by business relocation and corporate activity expansion. The Carolinas were also following suit in attracting business investment into the region while Virginia has been attracting those wishing to be </w:t>
      </w:r>
      <w:proofErr w:type="gramStart"/>
      <w:r w:rsidRPr="002F49B2">
        <w:rPr>
          <w:rFonts w:ascii="Calibri" w:eastAsia="Calibri" w:hAnsi="Calibri" w:cs="Calibri"/>
          <w:color w:val="00183D"/>
          <w:sz w:val="21"/>
          <w:szCs w:val="21"/>
        </w:rPr>
        <w:t>in close proximity to</w:t>
      </w:r>
      <w:proofErr w:type="gramEnd"/>
      <w:r w:rsidRPr="002F49B2">
        <w:rPr>
          <w:rFonts w:ascii="Calibri" w:eastAsia="Calibri" w:hAnsi="Calibri" w:cs="Calibri"/>
          <w:color w:val="00183D"/>
          <w:sz w:val="21"/>
          <w:szCs w:val="21"/>
        </w:rPr>
        <w:t xml:space="preserve"> the country’s decision </w:t>
      </w:r>
      <w:r w:rsidR="00D85727">
        <w:rPr>
          <w:rFonts w:ascii="Calibri" w:eastAsia="Calibri" w:hAnsi="Calibri" w:cs="Calibri"/>
          <w:color w:val="00183D"/>
          <w:sz w:val="21"/>
          <w:szCs w:val="21"/>
        </w:rPr>
        <w:t>centers</w:t>
      </w:r>
      <w:r w:rsidRPr="002F49B2">
        <w:rPr>
          <w:rFonts w:ascii="Calibri" w:eastAsia="Calibri" w:hAnsi="Calibri" w:cs="Calibri"/>
          <w:color w:val="00183D"/>
          <w:sz w:val="21"/>
          <w:szCs w:val="21"/>
        </w:rPr>
        <w:t>. Cement volumes in the Essex import terminal improve</w:t>
      </w:r>
      <w:r w:rsidR="00BC2798">
        <w:rPr>
          <w:rFonts w:ascii="Calibri" w:eastAsia="Calibri" w:hAnsi="Calibri" w:cs="Calibri"/>
          <w:color w:val="00183D"/>
          <w:sz w:val="21"/>
          <w:szCs w:val="21"/>
        </w:rPr>
        <w:t>d</w:t>
      </w:r>
      <w:r w:rsidRPr="002F49B2">
        <w:rPr>
          <w:rFonts w:ascii="Calibri" w:eastAsia="Calibri" w:hAnsi="Calibri" w:cs="Calibri"/>
          <w:color w:val="00183D"/>
          <w:sz w:val="21"/>
          <w:szCs w:val="21"/>
        </w:rPr>
        <w:t xml:space="preserve">, supported by residential and commercial high-rises, </w:t>
      </w:r>
      <w:r w:rsidR="00B54DE3">
        <w:rPr>
          <w:rFonts w:ascii="Calibri" w:eastAsia="Calibri" w:hAnsi="Calibri" w:cs="Calibri"/>
          <w:color w:val="00183D"/>
          <w:sz w:val="21"/>
          <w:szCs w:val="21"/>
        </w:rPr>
        <w:t>while</w:t>
      </w:r>
      <w:r w:rsidRPr="002F49B2">
        <w:rPr>
          <w:rFonts w:ascii="Calibri" w:eastAsia="Calibri" w:hAnsi="Calibri" w:cs="Calibri"/>
          <w:color w:val="00183D"/>
          <w:sz w:val="21"/>
          <w:szCs w:val="21"/>
        </w:rPr>
        <w:t xml:space="preserve"> infrastructure projects have been strong across our regions</w:t>
      </w:r>
      <w:r>
        <w:rPr>
          <w:rFonts w:ascii="Calibri" w:eastAsia="Calibri" w:hAnsi="Calibri" w:cs="Calibri"/>
          <w:color w:val="00183D"/>
          <w:sz w:val="21"/>
          <w:szCs w:val="21"/>
        </w:rPr>
        <w:t>.</w:t>
      </w:r>
    </w:p>
    <w:p w14:paraId="781AC030" w14:textId="31392E16" w:rsidR="00D85727" w:rsidRPr="00D85727" w:rsidRDefault="00D85727" w:rsidP="00D85727">
      <w:pPr>
        <w:spacing w:after="120"/>
        <w:jc w:val="both"/>
        <w:rPr>
          <w:rFonts w:ascii="Calibri" w:eastAsia="Calibri" w:hAnsi="Calibri" w:cs="Calibri"/>
          <w:color w:val="00183D"/>
          <w:sz w:val="21"/>
          <w:szCs w:val="21"/>
        </w:rPr>
      </w:pPr>
      <w:r w:rsidRPr="00D85727">
        <w:rPr>
          <w:rFonts w:ascii="Calibri" w:eastAsia="Calibri" w:hAnsi="Calibri" w:cs="Calibri"/>
          <w:color w:val="00183D"/>
          <w:sz w:val="21"/>
          <w:szCs w:val="21"/>
        </w:rPr>
        <w:t>Overall, Titan America sales in 2022 increased versus 2021, reaching $1.4 billion. In euro terms, sales increased by 33.6% to €1,314.3 million</w:t>
      </w:r>
      <w:r w:rsidR="00DF2159">
        <w:rPr>
          <w:rFonts w:ascii="Calibri" w:eastAsia="Calibri" w:hAnsi="Calibri" w:cs="Calibri"/>
          <w:color w:val="00183D"/>
          <w:sz w:val="21"/>
          <w:szCs w:val="21"/>
        </w:rPr>
        <w:t xml:space="preserve">. </w:t>
      </w:r>
      <w:r w:rsidRPr="00D85727">
        <w:rPr>
          <w:rFonts w:ascii="Calibri" w:eastAsia="Calibri" w:hAnsi="Calibri" w:cs="Calibri"/>
          <w:color w:val="00183D"/>
          <w:sz w:val="21"/>
          <w:szCs w:val="21"/>
        </w:rPr>
        <w:t>EBITDA also increased by 19.1% during the year, reaching €188.2 million ($194.8 million, up 4.0%)</w:t>
      </w:r>
      <w:r w:rsidR="003C31AF">
        <w:rPr>
          <w:rFonts w:ascii="Calibri" w:eastAsia="Calibri" w:hAnsi="Calibri" w:cs="Calibri"/>
          <w:color w:val="00183D"/>
          <w:sz w:val="21"/>
          <w:szCs w:val="21"/>
        </w:rPr>
        <w:t>.</w:t>
      </w:r>
    </w:p>
    <w:p w14:paraId="6C1498BB" w14:textId="77777777" w:rsidR="000046BF" w:rsidRPr="0087712A" w:rsidRDefault="000046BF" w:rsidP="00C72238">
      <w:pPr>
        <w:spacing w:after="120"/>
        <w:jc w:val="both"/>
        <w:rPr>
          <w:rFonts w:ascii="Calibri" w:eastAsia="Calibri" w:hAnsi="Calibri" w:cs="Calibri"/>
          <w:color w:val="00183D"/>
          <w:sz w:val="21"/>
          <w:szCs w:val="21"/>
        </w:rPr>
      </w:pPr>
    </w:p>
    <w:p w14:paraId="368488EA" w14:textId="77777777" w:rsidR="00D11E97" w:rsidRDefault="00D11E97" w:rsidP="00C72238">
      <w:pPr>
        <w:spacing w:after="120"/>
        <w:jc w:val="both"/>
        <w:rPr>
          <w:rFonts w:ascii="Calibri" w:eastAsia="Calibri" w:hAnsi="Calibri" w:cs="Calibri"/>
          <w:color w:val="00183D"/>
          <w:sz w:val="21"/>
          <w:szCs w:val="21"/>
        </w:rPr>
      </w:pPr>
    </w:p>
    <w:p w14:paraId="55123FAF" w14:textId="77777777" w:rsidR="00851037" w:rsidRDefault="00851037" w:rsidP="00C72238">
      <w:pPr>
        <w:spacing w:after="120"/>
        <w:jc w:val="both"/>
        <w:rPr>
          <w:rFonts w:ascii="Calibri" w:eastAsia="Calibri" w:hAnsi="Calibri" w:cs="Calibri"/>
          <w:color w:val="00183D"/>
          <w:sz w:val="21"/>
          <w:szCs w:val="21"/>
        </w:rPr>
      </w:pPr>
    </w:p>
    <w:p w14:paraId="596C2166" w14:textId="77777777" w:rsidR="00BD77DC" w:rsidRDefault="00BD77DC" w:rsidP="00C72238">
      <w:pPr>
        <w:spacing w:after="120"/>
        <w:jc w:val="both"/>
        <w:rPr>
          <w:rFonts w:ascii="Calibri" w:eastAsia="Calibri" w:hAnsi="Calibri" w:cs="Calibri"/>
          <w:color w:val="00183D"/>
          <w:sz w:val="21"/>
          <w:szCs w:val="21"/>
        </w:rPr>
      </w:pPr>
    </w:p>
    <w:p w14:paraId="3417FCA2" w14:textId="77777777" w:rsidR="006E6044" w:rsidRDefault="006E6044" w:rsidP="00C72238">
      <w:pPr>
        <w:spacing w:after="120"/>
        <w:jc w:val="both"/>
        <w:rPr>
          <w:rFonts w:ascii="Calibri" w:eastAsia="Calibri" w:hAnsi="Calibri" w:cs="Calibri"/>
          <w:color w:val="00183D"/>
          <w:sz w:val="21"/>
          <w:szCs w:val="21"/>
        </w:rPr>
      </w:pPr>
    </w:p>
    <w:p w14:paraId="180E8D74" w14:textId="77777777" w:rsidR="006E6044" w:rsidRDefault="006E6044" w:rsidP="00C72238">
      <w:pPr>
        <w:spacing w:after="120"/>
        <w:jc w:val="both"/>
        <w:rPr>
          <w:rFonts w:ascii="Calibri" w:eastAsia="Calibri" w:hAnsi="Calibri" w:cs="Calibri"/>
          <w:color w:val="00183D"/>
          <w:sz w:val="21"/>
          <w:szCs w:val="21"/>
        </w:rPr>
      </w:pPr>
    </w:p>
    <w:p w14:paraId="41932B1D" w14:textId="77777777" w:rsidR="006E6044" w:rsidRDefault="006E6044" w:rsidP="00C72238">
      <w:pPr>
        <w:spacing w:after="120"/>
        <w:jc w:val="both"/>
        <w:rPr>
          <w:rFonts w:ascii="Calibri" w:eastAsia="Calibri" w:hAnsi="Calibri" w:cs="Calibri"/>
          <w:color w:val="00183D"/>
          <w:sz w:val="21"/>
          <w:szCs w:val="21"/>
        </w:rPr>
      </w:pPr>
    </w:p>
    <w:p w14:paraId="2A2B94F9" w14:textId="4F59CC2E" w:rsidR="00BD77DC" w:rsidRDefault="00BD77DC" w:rsidP="00C72238">
      <w:pPr>
        <w:spacing w:after="120"/>
        <w:jc w:val="both"/>
        <w:rPr>
          <w:rFonts w:ascii="Calibri" w:eastAsia="Calibri" w:hAnsi="Calibri" w:cs="Calibri"/>
          <w:color w:val="00183D"/>
          <w:sz w:val="21"/>
          <w:szCs w:val="21"/>
        </w:rPr>
      </w:pPr>
    </w:p>
    <w:p w14:paraId="42FAE796" w14:textId="7D1F065D" w:rsidR="00197604" w:rsidRDefault="00197604" w:rsidP="00C72238">
      <w:pPr>
        <w:spacing w:after="120"/>
        <w:jc w:val="both"/>
        <w:rPr>
          <w:rFonts w:ascii="Calibri" w:eastAsia="Calibri" w:hAnsi="Calibri" w:cs="Calibri"/>
          <w:color w:val="00183D"/>
          <w:sz w:val="21"/>
          <w:szCs w:val="21"/>
        </w:rPr>
      </w:pPr>
    </w:p>
    <w:p w14:paraId="09AEE326" w14:textId="77777777" w:rsidR="003F32E7" w:rsidRDefault="003F32E7" w:rsidP="00820CD1">
      <w:pPr>
        <w:spacing w:after="200" w:line="276" w:lineRule="auto"/>
        <w:rPr>
          <w:rFonts w:ascii="Calibri" w:eastAsia="Calibri" w:hAnsi="Calibri" w:cs="Calibri"/>
          <w:b/>
          <w:bCs/>
          <w:color w:val="00183D"/>
          <w:sz w:val="28"/>
          <w:lang w:val="en-GB"/>
        </w:rPr>
      </w:pPr>
    </w:p>
    <w:p w14:paraId="7C780A7A" w14:textId="59AAD4B4" w:rsidR="004A7016" w:rsidRPr="0087712A" w:rsidRDefault="00931D29" w:rsidP="00820CD1">
      <w:pPr>
        <w:spacing w:after="200" w:line="276" w:lineRule="auto"/>
        <w:rPr>
          <w:rFonts w:ascii="Calibri" w:eastAsia="Calibri" w:hAnsi="Calibri" w:cs="Calibri"/>
          <w:b/>
          <w:bCs/>
          <w:color w:val="00183D"/>
          <w:sz w:val="28"/>
          <w:lang w:val="en-GB"/>
        </w:rPr>
      </w:pPr>
      <w:r w:rsidRPr="0087712A">
        <w:rPr>
          <w:rFonts w:ascii="Calibri" w:eastAsia="Calibri" w:hAnsi="Calibri" w:cs="Calibri"/>
          <w:b/>
          <w:noProof/>
          <w:color w:val="01B1D7"/>
          <w:sz w:val="28"/>
          <w:szCs w:val="28"/>
        </w:rPr>
        <mc:AlternateContent>
          <mc:Choice Requires="wps">
            <w:drawing>
              <wp:anchor distT="0" distB="0" distL="114300" distR="114300" simplePos="0" relativeHeight="251658248" behindDoc="0" locked="0" layoutInCell="1" allowOverlap="1" wp14:anchorId="558E8F42" wp14:editId="08E33ED8">
                <wp:simplePos x="0" y="0"/>
                <wp:positionH relativeFrom="column">
                  <wp:posOffset>3503295</wp:posOffset>
                </wp:positionH>
                <wp:positionV relativeFrom="paragraph">
                  <wp:posOffset>346075</wp:posOffset>
                </wp:positionV>
                <wp:extent cx="1082040" cy="33591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335915"/>
                        </a:xfrm>
                        <a:prstGeom prst="rect">
                          <a:avLst/>
                        </a:prstGeom>
                      </wps:spPr>
                      <wps:txbx>
                        <w:txbxContent>
                          <w:p w14:paraId="1F9792C8"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Total assets</w:t>
                            </w:r>
                          </w:p>
                          <w:p w14:paraId="14E6C74B"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74784A68"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8E8F42" id="Rectangle 35" o:spid="_x0000_s1034" style="position:absolute;margin-left:275.85pt;margin-top:27.25pt;width:85.2pt;height:26.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" filled="f" stroked="f">
                <v:textbox>
                  <w:txbxContent>
                    <w:p w14:paraId="1F9792C8"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Total assets</w:t>
                      </w:r>
                    </w:p>
                    <w:p w14:paraId="14E6C74B"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74784A68"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v:textbox>
              </v:rect>
            </w:pict>
          </mc:Fallback>
        </mc:AlternateContent>
      </w:r>
      <w:r w:rsidRPr="0087712A">
        <w:rPr>
          <w:rFonts w:ascii="Calibri" w:hAnsi="Calibri" w:cs="Calibri"/>
          <w:noProof/>
          <w:color w:val="335B74" w:themeColor="text2"/>
        </w:rPr>
        <mc:AlternateContent>
          <mc:Choice Requires="wps">
            <w:drawing>
              <wp:anchor distT="0" distB="0" distL="114300" distR="114300" simplePos="0" relativeHeight="251658246" behindDoc="0" locked="0" layoutInCell="1" allowOverlap="1" wp14:anchorId="0F4BD8CE" wp14:editId="135BB421">
                <wp:simplePos x="0" y="0"/>
                <wp:positionH relativeFrom="column">
                  <wp:posOffset>1814195</wp:posOffset>
                </wp:positionH>
                <wp:positionV relativeFrom="paragraph">
                  <wp:posOffset>347980</wp:posOffset>
                </wp:positionV>
                <wp:extent cx="1189990" cy="395207"/>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5207"/>
                        </a:xfrm>
                        <a:prstGeom prst="rect">
                          <a:avLst/>
                        </a:prstGeom>
                      </wps:spPr>
                      <wps:txbx>
                        <w:txbxContent>
                          <w:p w14:paraId="771D15B2"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EBITDA</w:t>
                            </w:r>
                          </w:p>
                          <w:p w14:paraId="31D637D7"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0228F56C"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F4BD8CE" id="Rectangle 3" o:spid="_x0000_s1035" style="position:absolute;margin-left:142.85pt;margin-top:27.4pt;width:93.7pt;height:3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" filled="f" stroked="f">
                <v:textbox>
                  <w:txbxContent>
                    <w:p w14:paraId="771D15B2" w14:textId="77777777" w:rsidR="00A90423" w:rsidRPr="00F6411A" w:rsidRDefault="00A90423" w:rsidP="004A7016">
                      <w:pPr>
                        <w:spacing w:line="216" w:lineRule="auto"/>
                        <w:jc w:val="center"/>
                        <w:rPr>
                          <w:rFonts w:ascii="Calibri" w:hAnsi="Calibri"/>
                          <w:b/>
                          <w:bCs/>
                          <w:color w:val="00183D"/>
                          <w:sz w:val="20"/>
                          <w:szCs w:val="18"/>
                          <w:lang w:val="en-CA"/>
                        </w:rPr>
                      </w:pPr>
                      <w:r w:rsidRPr="00F6411A">
                        <w:rPr>
                          <w:rFonts w:ascii="Calibri" w:hAnsi="Calibri"/>
                          <w:b/>
                          <w:bCs/>
                          <w:color w:val="00183D"/>
                          <w:sz w:val="20"/>
                          <w:szCs w:val="18"/>
                          <w:lang w:val="en-CA"/>
                        </w:rPr>
                        <w:t>EBITDA</w:t>
                      </w:r>
                    </w:p>
                    <w:p w14:paraId="31D637D7"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0228F56C"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006572B0" w:rsidRPr="0087712A">
        <w:rPr>
          <w:rFonts w:ascii="Calibri" w:eastAsia="Calibri" w:hAnsi="Calibri" w:cs="Calibri"/>
          <w:b/>
          <w:noProof/>
          <w:color w:val="01B1D7"/>
          <w:sz w:val="28"/>
          <w:szCs w:val="28"/>
        </w:rPr>
        <mc:AlternateContent>
          <mc:Choice Requires="wps">
            <w:drawing>
              <wp:anchor distT="0" distB="0" distL="114300" distR="114300" simplePos="0" relativeHeight="251658247" behindDoc="0" locked="0" layoutInCell="1" allowOverlap="1" wp14:anchorId="73C9BEE3" wp14:editId="3FA0A9B3">
                <wp:simplePos x="0" y="0"/>
                <wp:positionH relativeFrom="column">
                  <wp:posOffset>213360</wp:posOffset>
                </wp:positionH>
                <wp:positionV relativeFrom="paragraph">
                  <wp:posOffset>347980</wp:posOffset>
                </wp:positionV>
                <wp:extent cx="1189990" cy="393192"/>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192"/>
                        </a:xfrm>
                        <a:prstGeom prst="rect">
                          <a:avLst/>
                        </a:prstGeom>
                      </wps:spPr>
                      <wps:txbx>
                        <w:txbxContent>
                          <w:p w14:paraId="6AF343A9" w14:textId="6247E721"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11778CC7" w14:textId="77777777" w:rsidR="00A90423" w:rsidRPr="008F0A16" w:rsidRDefault="00A90423" w:rsidP="004A7016">
                            <w:pPr>
                              <w:spacing w:line="216" w:lineRule="auto"/>
                              <w:jc w:val="center"/>
                              <w:rPr>
                                <w:rFonts w:ascii="Calibri Light" w:hAnsi="Calibri Light" w:cs="Calibri Light"/>
                                <w:color w:val="00183D"/>
                                <w:sz w:val="20"/>
                                <w:szCs w:val="18"/>
                                <w:lang w:val="en-CA"/>
                              </w:rPr>
                            </w:pPr>
                          </w:p>
                          <w:p w14:paraId="326074CD"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anchor>
            </w:drawing>
          </mc:Choice>
          <mc:Fallback>
            <w:pict>
              <v:rect w14:anchorId="73C9BEE3" id="Rectangle 31" o:spid="_x0000_s1036" style="position:absolute;margin-left:16.8pt;margin-top:27.4pt;width:93.7pt;height:30.9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" filled="f" stroked="f">
                <v:textbox>
                  <w:txbxContent>
                    <w:p w14:paraId="6AF343A9" w14:textId="6247E721"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11778CC7" w14:textId="77777777" w:rsidR="00A90423" w:rsidRPr="008F0A16" w:rsidRDefault="00A90423" w:rsidP="004A7016">
                      <w:pPr>
                        <w:spacing w:line="216" w:lineRule="auto"/>
                        <w:jc w:val="center"/>
                        <w:rPr>
                          <w:rFonts w:ascii="Calibri Light" w:hAnsi="Calibri Light" w:cs="Calibri Light"/>
                          <w:color w:val="00183D"/>
                          <w:sz w:val="20"/>
                          <w:szCs w:val="18"/>
                          <w:lang w:val="en-CA"/>
                        </w:rPr>
                      </w:pPr>
                    </w:p>
                    <w:p w14:paraId="326074CD"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004A7016" w:rsidRPr="0087712A">
        <w:rPr>
          <w:rFonts w:ascii="Calibri" w:eastAsia="Calibri" w:hAnsi="Calibri" w:cs="Calibri"/>
          <w:b/>
          <w:bCs/>
          <w:color w:val="00183D"/>
          <w:sz w:val="28"/>
          <w:lang w:val="en-GB"/>
        </w:rPr>
        <w:t>Greece &amp; W.</w:t>
      </w:r>
      <w:r w:rsidR="00183819" w:rsidRPr="0087712A">
        <w:rPr>
          <w:rFonts w:ascii="Calibri" w:eastAsia="Calibri" w:hAnsi="Calibri" w:cs="Calibri"/>
          <w:b/>
          <w:bCs/>
          <w:color w:val="00183D"/>
          <w:sz w:val="28"/>
          <w:lang w:val="en-GB"/>
        </w:rPr>
        <w:t xml:space="preserve"> </w:t>
      </w:r>
      <w:r w:rsidR="004A7016" w:rsidRPr="0087712A">
        <w:rPr>
          <w:rFonts w:ascii="Calibri" w:eastAsia="Calibri" w:hAnsi="Calibri" w:cs="Calibri"/>
          <w:b/>
          <w:bCs/>
          <w:color w:val="00183D"/>
          <w:sz w:val="28"/>
          <w:lang w:val="en-GB"/>
        </w:rPr>
        <w:t>Europe</w:t>
      </w:r>
    </w:p>
    <w:p w14:paraId="396DB364" w14:textId="5C0E9309" w:rsidR="004A7016" w:rsidRPr="0087712A" w:rsidRDefault="004A7016" w:rsidP="004A7016">
      <w:pPr>
        <w:jc w:val="both"/>
        <w:rPr>
          <w:rFonts w:ascii="Calibri" w:eastAsia="Calibri" w:hAnsi="Calibri" w:cs="Calibri"/>
          <w:b/>
          <w:bCs/>
          <w:color w:val="01B1D7"/>
          <w:sz w:val="28"/>
          <w:szCs w:val="28"/>
        </w:rPr>
      </w:pPr>
    </w:p>
    <w:p w14:paraId="4087D1C7" w14:textId="2777E0A2" w:rsidR="004A7016" w:rsidRPr="0087712A" w:rsidRDefault="00931D29" w:rsidP="004A7016">
      <w:pPr>
        <w:pStyle w:val="C"/>
        <w:spacing w:line="240" w:lineRule="auto"/>
        <w:jc w:val="both"/>
        <w:rPr>
          <w:rFonts w:eastAsia="Calibri" w:cs="Calibri"/>
          <w:noProof/>
        </w:rPr>
      </w:pPr>
      <w:r w:rsidRPr="0087712A">
        <w:rPr>
          <w:rFonts w:cs="Calibri"/>
          <w:noProof/>
        </w:rPr>
        <w:drawing>
          <wp:inline distT="0" distB="0" distL="0" distR="0" wp14:anchorId="3CF17DFE" wp14:editId="7D2F5D75">
            <wp:extent cx="1628775" cy="1409700"/>
            <wp:effectExtent l="0" t="0" r="0" b="0"/>
            <wp:docPr id="7" name="Chart 7">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7712A">
        <w:rPr>
          <w:rFonts w:cs="Calibri"/>
          <w:noProof/>
        </w:rPr>
        <w:drawing>
          <wp:inline distT="0" distB="0" distL="0" distR="0" wp14:anchorId="729D60C8" wp14:editId="28FFECE2">
            <wp:extent cx="1638300" cy="1419225"/>
            <wp:effectExtent l="0" t="0" r="0" b="0"/>
            <wp:docPr id="8" name="Chart 8">
              <a:extLst xmlns:a="http://schemas.openxmlformats.org/drawingml/2006/main">
                <a:ext uri="{FF2B5EF4-FFF2-40B4-BE49-F238E27FC236}">
                  <a16:creationId xmlns:a16="http://schemas.microsoft.com/office/drawing/2014/main" id="{00000000-0008-0000-02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7712A">
        <w:rPr>
          <w:rFonts w:cs="Calibri"/>
          <w:noProof/>
        </w:rPr>
        <w:drawing>
          <wp:inline distT="0" distB="0" distL="0" distR="0" wp14:anchorId="24474CEB" wp14:editId="1D215D06">
            <wp:extent cx="1647825" cy="1390650"/>
            <wp:effectExtent l="0" t="0" r="0" b="0"/>
            <wp:docPr id="11" name="Chart 11">
              <a:extLst xmlns:a="http://schemas.openxmlformats.org/drawingml/2006/main">
                <a:ext uri="{FF2B5EF4-FFF2-40B4-BE49-F238E27FC236}">
                  <a16:creationId xmlns:a16="http://schemas.microsoft.com/office/drawing/2014/main" id="{00000000-0008-0000-02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0C67C1" w14:textId="3BCE42E0"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 xml:space="preserve">Greece closed the year on the positive trend recorded throughout. Higher domestic cement sales were recorded, marking a year of solid sales performance. Sales were in double-digits up both for the year and the last </w:t>
      </w:r>
      <w:r w:rsidR="00443976" w:rsidRPr="00FC750F">
        <w:rPr>
          <w:rFonts w:ascii="Calibri" w:eastAsia="Calibri" w:hAnsi="Calibri" w:cs="Calibri"/>
          <w:color w:val="00183D"/>
          <w:sz w:val="21"/>
          <w:szCs w:val="21"/>
        </w:rPr>
        <w:t>quarter,</w:t>
      </w:r>
      <w:r w:rsidRPr="00FC750F">
        <w:rPr>
          <w:rFonts w:ascii="Calibri" w:eastAsia="Calibri" w:hAnsi="Calibri" w:cs="Calibri"/>
          <w:color w:val="00183D"/>
          <w:sz w:val="21"/>
          <w:szCs w:val="21"/>
        </w:rPr>
        <w:t xml:space="preserve"> which was particularly strong aided by very mild weather conditions. </w:t>
      </w:r>
    </w:p>
    <w:p w14:paraId="4EF527CF" w14:textId="4E029A32"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 xml:space="preserve">Despite higher energy, raw materials and transportation costs, regional profitability improved as price increases were realized on time to account for the increased cost. The combination of a series of actions -further increase in alternative fuel and alternative raw material utilization, lower clinker to cement ratio products, as well as successive operational efficiencies- also helped mitigate part of the increase in energy costs. Demand in the market continued to be fueled by large and smaller public projects, by real estate and non-residential developments across the country and by </w:t>
      </w:r>
      <w:r w:rsidR="001A325A" w:rsidRPr="00FC750F">
        <w:rPr>
          <w:rFonts w:ascii="Calibri" w:eastAsia="Calibri" w:hAnsi="Calibri" w:cs="Calibri"/>
          <w:color w:val="00183D"/>
          <w:sz w:val="21"/>
          <w:szCs w:val="21"/>
        </w:rPr>
        <w:t>tourism-related</w:t>
      </w:r>
      <w:r w:rsidRPr="00FC750F">
        <w:rPr>
          <w:rFonts w:ascii="Calibri" w:eastAsia="Calibri" w:hAnsi="Calibri" w:cs="Calibri"/>
          <w:color w:val="00183D"/>
          <w:sz w:val="21"/>
          <w:szCs w:val="21"/>
        </w:rPr>
        <w:t xml:space="preserve"> investments. There is also a number of further major infrastructure projects in the pipeline that have not materialized yet. The residential market along with renovation has been growing in large urban centers and, overall, remained stable. </w:t>
      </w:r>
    </w:p>
    <w:p w14:paraId="2E052217" w14:textId="154EEFE2"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Net CO</w:t>
      </w:r>
      <w:r w:rsidRPr="006118A3">
        <w:rPr>
          <w:rFonts w:ascii="Calibri" w:eastAsia="Calibri" w:hAnsi="Calibri" w:cs="Calibri"/>
          <w:color w:val="00183D"/>
          <w:sz w:val="21"/>
          <w:szCs w:val="21"/>
          <w:vertAlign w:val="subscript"/>
        </w:rPr>
        <w:t>2</w:t>
      </w:r>
      <w:r w:rsidRPr="00FC750F">
        <w:rPr>
          <w:rFonts w:ascii="Calibri" w:eastAsia="Calibri" w:hAnsi="Calibri" w:cs="Calibri"/>
          <w:color w:val="00183D"/>
          <w:sz w:val="21"/>
          <w:szCs w:val="21"/>
        </w:rPr>
        <w:t xml:space="preserve"> emissions dropped significantly in 2022, while the construction of the pre-calciner, that will help to further increase the usage of alternative </w:t>
      </w:r>
      <w:r w:rsidR="006118A3" w:rsidRPr="00FC750F">
        <w:rPr>
          <w:rFonts w:ascii="Calibri" w:eastAsia="Calibri" w:hAnsi="Calibri" w:cs="Calibri"/>
          <w:color w:val="00183D"/>
          <w:sz w:val="21"/>
          <w:szCs w:val="21"/>
        </w:rPr>
        <w:t>fuels,</w:t>
      </w:r>
      <w:r w:rsidRPr="00FC750F">
        <w:rPr>
          <w:rFonts w:ascii="Calibri" w:eastAsia="Calibri" w:hAnsi="Calibri" w:cs="Calibri"/>
          <w:color w:val="00183D"/>
          <w:sz w:val="21"/>
          <w:szCs w:val="21"/>
        </w:rPr>
        <w:t xml:space="preserve"> is near completion, expected to be operational in the first half of 2023.</w:t>
      </w:r>
    </w:p>
    <w:p w14:paraId="15F9A9CB" w14:textId="394088BF"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Export volumes to third parties were reduced for the year, accommodating our CO</w:t>
      </w:r>
      <w:r w:rsidRPr="00A34B93">
        <w:rPr>
          <w:rFonts w:ascii="Calibri" w:eastAsia="Calibri" w:hAnsi="Calibri" w:cs="Calibri"/>
          <w:color w:val="00183D"/>
          <w:sz w:val="21"/>
          <w:szCs w:val="21"/>
          <w:vertAlign w:val="subscript"/>
        </w:rPr>
        <w:t>2</w:t>
      </w:r>
      <w:r w:rsidRPr="00FC750F">
        <w:rPr>
          <w:rFonts w:ascii="Calibri" w:eastAsia="Calibri" w:hAnsi="Calibri" w:cs="Calibri"/>
          <w:color w:val="00183D"/>
          <w:sz w:val="21"/>
          <w:szCs w:val="21"/>
        </w:rPr>
        <w:t xml:space="preserve"> emissions optimization. The majority of cement exports were channeled to Titan America and the Group’s own terminal network in Europe also recorded robust growth in terms of both volumes and prices. </w:t>
      </w:r>
    </w:p>
    <w:p w14:paraId="25F397A1" w14:textId="626DC395"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Sales for Greece and Western Europe in 2022 increased by 22.0% to €326.4 million, while EBITDA increased by €</w:t>
      </w:r>
      <w:r w:rsidR="001F62B0">
        <w:rPr>
          <w:rFonts w:ascii="Calibri" w:eastAsia="Calibri" w:hAnsi="Calibri" w:cs="Calibri"/>
          <w:color w:val="00183D"/>
          <w:sz w:val="21"/>
          <w:szCs w:val="21"/>
        </w:rPr>
        <w:t>4.9</w:t>
      </w:r>
      <w:r w:rsidRPr="00FC750F">
        <w:rPr>
          <w:rFonts w:ascii="Calibri" w:eastAsia="Calibri" w:hAnsi="Calibri" w:cs="Calibri"/>
          <w:color w:val="00183D"/>
          <w:sz w:val="21"/>
          <w:szCs w:val="21"/>
        </w:rPr>
        <w:t xml:space="preserve"> million to €28.5 million.</w:t>
      </w:r>
    </w:p>
    <w:p w14:paraId="14096772" w14:textId="77777777" w:rsidR="0070312C" w:rsidRPr="0087712A" w:rsidRDefault="0070312C" w:rsidP="000B4974">
      <w:pPr>
        <w:jc w:val="both"/>
        <w:rPr>
          <w:rFonts w:ascii="Calibri" w:eastAsia="Calibri" w:hAnsi="Calibri" w:cs="Calibri"/>
          <w:color w:val="00183D"/>
          <w:sz w:val="21"/>
          <w:szCs w:val="21"/>
        </w:rPr>
      </w:pPr>
    </w:p>
    <w:p w14:paraId="652F4AAE" w14:textId="77777777" w:rsidR="000B3BE4" w:rsidRPr="0087712A" w:rsidRDefault="000B3BE4" w:rsidP="001C3A4D">
      <w:pPr>
        <w:rPr>
          <w:rFonts w:ascii="Calibri" w:eastAsia="Calibri" w:hAnsi="Calibri" w:cs="Calibri"/>
          <w:color w:val="00183D"/>
          <w:sz w:val="21"/>
          <w:szCs w:val="21"/>
        </w:rPr>
      </w:pPr>
    </w:p>
    <w:p w14:paraId="4C9C4BB7" w14:textId="1E48D361" w:rsidR="004A7016" w:rsidRPr="0087712A" w:rsidRDefault="004A7016" w:rsidP="00DC60D1">
      <w:pPr>
        <w:spacing w:after="200" w:line="276" w:lineRule="auto"/>
        <w:rPr>
          <w:rFonts w:ascii="Calibri" w:eastAsia="Calibri" w:hAnsi="Calibri" w:cs="Calibri"/>
          <w:b/>
          <w:bCs/>
          <w:color w:val="00183D"/>
          <w:sz w:val="28"/>
          <w:lang w:val="en-GB"/>
        </w:rPr>
      </w:pPr>
      <w:proofErr w:type="spellStart"/>
      <w:r w:rsidRPr="0087712A">
        <w:rPr>
          <w:rFonts w:ascii="Calibri" w:eastAsia="Calibri" w:hAnsi="Calibri" w:cs="Calibri"/>
          <w:b/>
          <w:bCs/>
          <w:color w:val="00183D"/>
          <w:sz w:val="28"/>
          <w:lang w:val="en-GB"/>
        </w:rPr>
        <w:t>Southeastern</w:t>
      </w:r>
      <w:proofErr w:type="spellEnd"/>
      <w:r w:rsidRPr="0087712A">
        <w:rPr>
          <w:rFonts w:ascii="Calibri" w:eastAsia="Calibri" w:hAnsi="Calibri" w:cs="Calibri"/>
          <w:b/>
          <w:bCs/>
          <w:color w:val="00183D"/>
          <w:sz w:val="28"/>
          <w:lang w:val="en-GB"/>
        </w:rPr>
        <w:t xml:space="preserve"> Europe</w:t>
      </w:r>
    </w:p>
    <w:p w14:paraId="055E727D" w14:textId="4B577200" w:rsidR="004A7016" w:rsidRPr="0087712A" w:rsidRDefault="00B90E02" w:rsidP="004A7016">
      <w:pPr>
        <w:jc w:val="both"/>
        <w:rPr>
          <w:rFonts w:ascii="Calibri" w:eastAsia="Calibri" w:hAnsi="Calibri" w:cs="Calibri"/>
          <w:b/>
          <w:bCs/>
          <w:color w:val="01B1D7"/>
          <w:sz w:val="28"/>
          <w:szCs w:val="28"/>
        </w:rPr>
      </w:pPr>
      <w:r w:rsidRPr="0087712A">
        <w:rPr>
          <w:rFonts w:ascii="Calibri" w:hAnsi="Calibri" w:cs="Calibri"/>
          <w:noProof/>
          <w:color w:val="335B74" w:themeColor="text2"/>
          <w:sz w:val="28"/>
        </w:rPr>
        <mc:AlternateContent>
          <mc:Choice Requires="wps">
            <w:drawing>
              <wp:anchor distT="0" distB="0" distL="114300" distR="114300" simplePos="0" relativeHeight="251658251" behindDoc="0" locked="0" layoutInCell="1" allowOverlap="1" wp14:anchorId="1AE7A29A" wp14:editId="25FE4983">
                <wp:simplePos x="0" y="0"/>
                <wp:positionH relativeFrom="page">
                  <wp:posOffset>4220845</wp:posOffset>
                </wp:positionH>
                <wp:positionV relativeFrom="paragraph">
                  <wp:posOffset>29845</wp:posOffset>
                </wp:positionV>
                <wp:extent cx="1031875" cy="3200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875" cy="320040"/>
                        </a:xfrm>
                        <a:prstGeom prst="rect">
                          <a:avLst/>
                        </a:prstGeom>
                      </wps:spPr>
                      <wps:txbx>
                        <w:txbxContent>
                          <w:p w14:paraId="5E925356" w14:textId="77777777" w:rsidR="00A90423" w:rsidRPr="004F1566" w:rsidRDefault="00A90423" w:rsidP="004A7016">
                            <w:pPr>
                              <w:spacing w:line="216" w:lineRule="auto"/>
                              <w:jc w:val="center"/>
                              <w:rPr>
                                <w:rFonts w:ascii="Calibri" w:hAnsi="Calibri"/>
                                <w:b/>
                                <w:bCs/>
                                <w:color w:val="00183D"/>
                                <w:sz w:val="20"/>
                                <w:szCs w:val="20"/>
                                <w:lang w:val="en-CA"/>
                              </w:rPr>
                            </w:pPr>
                            <w:r w:rsidRPr="004F1566">
                              <w:rPr>
                                <w:rFonts w:ascii="Calibri" w:hAnsi="Calibri"/>
                                <w:b/>
                                <w:bCs/>
                                <w:color w:val="00183D"/>
                                <w:sz w:val="20"/>
                                <w:szCs w:val="20"/>
                                <w:lang w:val="en-CA"/>
                              </w:rPr>
                              <w:t>Total assets</w:t>
                            </w:r>
                          </w:p>
                          <w:p w14:paraId="2E940174"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7F08989A"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AE7A29A" id="Rectangle 12" o:spid="_x0000_s1037" style="position:absolute;left:0;text-align:left;margin-left:332.35pt;margin-top:2.35pt;width:81.25pt;height:25.2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" filled="f" stroked="f">
                <v:textbox>
                  <w:txbxContent>
                    <w:p w14:paraId="5E925356" w14:textId="77777777" w:rsidR="00A90423" w:rsidRPr="004F1566" w:rsidRDefault="00A90423" w:rsidP="004A7016">
                      <w:pPr>
                        <w:spacing w:line="216" w:lineRule="auto"/>
                        <w:jc w:val="center"/>
                        <w:rPr>
                          <w:rFonts w:ascii="Calibri" w:hAnsi="Calibri"/>
                          <w:b/>
                          <w:bCs/>
                          <w:color w:val="00183D"/>
                          <w:sz w:val="20"/>
                          <w:szCs w:val="20"/>
                          <w:lang w:val="en-CA"/>
                        </w:rPr>
                      </w:pPr>
                      <w:r w:rsidRPr="004F1566">
                        <w:rPr>
                          <w:rFonts w:ascii="Calibri" w:hAnsi="Calibri"/>
                          <w:b/>
                          <w:bCs/>
                          <w:color w:val="00183D"/>
                          <w:sz w:val="20"/>
                          <w:szCs w:val="20"/>
                          <w:lang w:val="en-CA"/>
                        </w:rPr>
                        <w:t>Total assets</w:t>
                      </w:r>
                    </w:p>
                    <w:p w14:paraId="2E940174"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7F08989A"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v:textbox>
                <w10:wrap anchorx="page"/>
              </v:rect>
            </w:pict>
          </mc:Fallback>
        </mc:AlternateContent>
      </w:r>
      <w:r w:rsidRPr="0087712A">
        <w:rPr>
          <w:rFonts w:ascii="Calibri" w:hAnsi="Calibri" w:cs="Calibri"/>
          <w:noProof/>
          <w:color w:val="335B74" w:themeColor="text2"/>
          <w:sz w:val="28"/>
        </w:rPr>
        <mc:AlternateContent>
          <mc:Choice Requires="wps">
            <w:drawing>
              <wp:anchor distT="0" distB="0" distL="114300" distR="114300" simplePos="0" relativeHeight="251658250" behindDoc="0" locked="0" layoutInCell="1" allowOverlap="1" wp14:anchorId="48DC09DC" wp14:editId="7573AB91">
                <wp:simplePos x="0" y="0"/>
                <wp:positionH relativeFrom="column">
                  <wp:posOffset>1710055</wp:posOffset>
                </wp:positionH>
                <wp:positionV relativeFrom="paragraph">
                  <wp:posOffset>29845</wp:posOffset>
                </wp:positionV>
                <wp:extent cx="1189990" cy="32829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28295"/>
                        </a:xfrm>
                        <a:prstGeom prst="rect">
                          <a:avLst/>
                        </a:prstGeom>
                      </wps:spPr>
                      <wps:txbx>
                        <w:txbxContent>
                          <w:p w14:paraId="53429F5C" w14:textId="77777777" w:rsidR="00A90423" w:rsidRPr="004F1566" w:rsidRDefault="00A90423" w:rsidP="004A7016">
                            <w:pPr>
                              <w:spacing w:line="216" w:lineRule="auto"/>
                              <w:jc w:val="center"/>
                              <w:rPr>
                                <w:rFonts w:ascii="Calibri" w:hAnsi="Calibri"/>
                                <w:b/>
                                <w:bCs/>
                                <w:color w:val="00183D"/>
                                <w:sz w:val="20"/>
                                <w:szCs w:val="20"/>
                                <w:lang w:val="en-CA"/>
                              </w:rPr>
                            </w:pPr>
                            <w:r w:rsidRPr="004F1566">
                              <w:rPr>
                                <w:rFonts w:ascii="Calibri" w:hAnsi="Calibri"/>
                                <w:b/>
                                <w:bCs/>
                                <w:color w:val="00183D"/>
                                <w:sz w:val="20"/>
                                <w:szCs w:val="20"/>
                                <w:lang w:val="en-CA"/>
                              </w:rPr>
                              <w:t>EBITDA</w:t>
                            </w:r>
                          </w:p>
                          <w:p w14:paraId="3DE865A9"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1790EB0D"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8DC09DC" id="Rectangle 16" o:spid="_x0000_s1038" style="position:absolute;left:0;text-align:left;margin-left:134.65pt;margin-top:2.35pt;width:93.7pt;height:25.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" filled="f" stroked="f">
                <v:textbox>
                  <w:txbxContent>
                    <w:p w14:paraId="53429F5C" w14:textId="77777777" w:rsidR="00A90423" w:rsidRPr="004F1566" w:rsidRDefault="00A90423" w:rsidP="004A7016">
                      <w:pPr>
                        <w:spacing w:line="216" w:lineRule="auto"/>
                        <w:jc w:val="center"/>
                        <w:rPr>
                          <w:rFonts w:ascii="Calibri" w:hAnsi="Calibri"/>
                          <w:b/>
                          <w:bCs/>
                          <w:color w:val="00183D"/>
                          <w:sz w:val="20"/>
                          <w:szCs w:val="20"/>
                          <w:lang w:val="en-CA"/>
                        </w:rPr>
                      </w:pPr>
                      <w:r w:rsidRPr="004F1566">
                        <w:rPr>
                          <w:rFonts w:ascii="Calibri" w:hAnsi="Calibri"/>
                          <w:b/>
                          <w:bCs/>
                          <w:color w:val="00183D"/>
                          <w:sz w:val="20"/>
                          <w:szCs w:val="20"/>
                          <w:lang w:val="en-CA"/>
                        </w:rPr>
                        <w:t>EBITDA</w:t>
                      </w:r>
                    </w:p>
                    <w:p w14:paraId="3DE865A9"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1790EB0D"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006572B0" w:rsidRPr="0087712A">
        <w:rPr>
          <w:rFonts w:ascii="Calibri" w:eastAsia="Calibri" w:hAnsi="Calibri" w:cs="Calibri"/>
          <w:b/>
          <w:bCs/>
          <w:noProof/>
          <w:color w:val="00183D"/>
          <w:sz w:val="28"/>
        </w:rPr>
        <mc:AlternateContent>
          <mc:Choice Requires="wps">
            <w:drawing>
              <wp:anchor distT="0" distB="0" distL="114300" distR="114300" simplePos="0" relativeHeight="251658249" behindDoc="0" locked="0" layoutInCell="1" allowOverlap="1" wp14:anchorId="7FFE3CEB" wp14:editId="46360DA0">
                <wp:simplePos x="0" y="0"/>
                <wp:positionH relativeFrom="margin">
                  <wp:posOffset>163830</wp:posOffset>
                </wp:positionH>
                <wp:positionV relativeFrom="paragraph">
                  <wp:posOffset>36195</wp:posOffset>
                </wp:positionV>
                <wp:extent cx="1189990" cy="39306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065"/>
                        </a:xfrm>
                        <a:prstGeom prst="rect">
                          <a:avLst/>
                        </a:prstGeom>
                      </wps:spPr>
                      <wps:txbx>
                        <w:txbxContent>
                          <w:p w14:paraId="47E3B332" w14:textId="28F10638" w:rsidR="00A90423" w:rsidRPr="0070134B" w:rsidRDefault="0070134B" w:rsidP="0070134B">
                            <w:pPr>
                              <w:spacing w:line="216" w:lineRule="auto"/>
                              <w:jc w:val="center"/>
                              <w:rPr>
                                <w:color w:val="00183D"/>
                              </w:rPr>
                            </w:pPr>
                            <w:r>
                              <w:rPr>
                                <w:rFonts w:ascii="Calibri" w:hAnsi="Calibri" w:cs="Calibri"/>
                                <w:b/>
                                <w:color w:val="00183D"/>
                                <w:sz w:val="20"/>
                                <w:szCs w:val="18"/>
                                <w:lang w:val="en-CA"/>
                              </w:rPr>
                              <w:t>Sales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FFE3CEB" id="Rectangle 17" o:spid="_x0000_s1039" style="position:absolute;left:0;text-align:left;margin-left:12.9pt;margin-top:2.85pt;width:93.7pt;height:30.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" filled="f" stroked="f">
                <v:textbox>
                  <w:txbxContent>
                    <w:p w14:paraId="47E3B332" w14:textId="28F10638" w:rsidR="00A90423" w:rsidRPr="0070134B" w:rsidRDefault="0070134B" w:rsidP="0070134B">
                      <w:pPr>
                        <w:spacing w:line="216" w:lineRule="auto"/>
                        <w:jc w:val="center"/>
                        <w:rPr>
                          <w:color w:val="00183D"/>
                        </w:rPr>
                      </w:pPr>
                      <w:r>
                        <w:rPr>
                          <w:rFonts w:ascii="Calibri" w:hAnsi="Calibri" w:cs="Calibri"/>
                          <w:b/>
                          <w:color w:val="00183D"/>
                          <w:sz w:val="20"/>
                          <w:szCs w:val="18"/>
                          <w:lang w:val="en-CA"/>
                        </w:rPr>
                        <w:t>Sales</w:t>
                      </w:r>
                    </w:p>
                  </w:txbxContent>
                </v:textbox>
                <w10:wrap anchorx="margin"/>
              </v:rect>
            </w:pict>
          </mc:Fallback>
        </mc:AlternateContent>
      </w:r>
    </w:p>
    <w:p w14:paraId="2D95FF5B" w14:textId="4931B36F" w:rsidR="004F1566" w:rsidRPr="0087712A" w:rsidRDefault="00B90E02" w:rsidP="00EC410A">
      <w:pPr>
        <w:jc w:val="both"/>
        <w:rPr>
          <w:rFonts w:ascii="Calibri" w:eastAsia="Calibri" w:hAnsi="Calibri" w:cs="Calibri"/>
          <w:color w:val="00183D"/>
          <w:sz w:val="21"/>
          <w:szCs w:val="21"/>
        </w:rPr>
      </w:pPr>
      <w:r w:rsidRPr="0087712A">
        <w:rPr>
          <w:rFonts w:ascii="Calibri" w:hAnsi="Calibri" w:cs="Calibri"/>
          <w:noProof/>
        </w:rPr>
        <w:drawing>
          <wp:inline distT="0" distB="0" distL="0" distR="0" wp14:anchorId="12BD7F6B" wp14:editId="23FA6B0D">
            <wp:extent cx="1495425" cy="1441450"/>
            <wp:effectExtent l="0" t="0" r="0" b="6350"/>
            <wp:docPr id="15" name="Chart 15">
              <a:extLst xmlns:a="http://schemas.openxmlformats.org/drawingml/2006/main">
                <a:ext uri="{FF2B5EF4-FFF2-40B4-BE49-F238E27FC236}">
                  <a16:creationId xmlns:a16="http://schemas.microsoft.com/office/drawing/2014/main" id="{00000000-0008-0000-02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7712A">
        <w:rPr>
          <w:rFonts w:ascii="Calibri" w:hAnsi="Calibri" w:cs="Calibri"/>
          <w:noProof/>
        </w:rPr>
        <w:drawing>
          <wp:inline distT="0" distB="0" distL="0" distR="0" wp14:anchorId="1B0BDC52" wp14:editId="34D283D9">
            <wp:extent cx="1704975" cy="1419860"/>
            <wp:effectExtent l="0" t="0" r="0" b="8890"/>
            <wp:docPr id="18" name="Chart 18">
              <a:extLst xmlns:a="http://schemas.openxmlformats.org/drawingml/2006/main">
                <a:ext uri="{FF2B5EF4-FFF2-40B4-BE49-F238E27FC236}">
                  <a16:creationId xmlns:a16="http://schemas.microsoft.com/office/drawing/2014/main" id="{00000000-0008-0000-02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7712A">
        <w:rPr>
          <w:rFonts w:ascii="Calibri" w:hAnsi="Calibri" w:cs="Calibri"/>
          <w:noProof/>
        </w:rPr>
        <w:drawing>
          <wp:inline distT="0" distB="0" distL="0" distR="0" wp14:anchorId="4BA83989" wp14:editId="4CE93FE3">
            <wp:extent cx="1657350" cy="1400810"/>
            <wp:effectExtent l="0" t="0" r="0" b="8890"/>
            <wp:docPr id="20" name="Chart 20">
              <a:extLst xmlns:a="http://schemas.openxmlformats.org/drawingml/2006/main">
                <a:ext uri="{FF2B5EF4-FFF2-40B4-BE49-F238E27FC236}">
                  <a16:creationId xmlns:a16="http://schemas.microsoft.com/office/drawing/2014/main" id="{00000000-0008-0000-02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4F4AB9" w14:textId="75F74575" w:rsidR="009B1740"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 xml:space="preserve">The Group’s markets in Southeastern Europe moved along the patterns already witnessed throughout the year. The region as a whole has been hit exceptionally harsh by high energy prices and overall input costs which spilled over into construction sentiment translating into some softness in demand. Amid very tight market though in terms of supply, as some producers were hampered by the market adversities, Group volumes held up better than the overall market levels as we were able to effectively serve the whole region taking advantage of our strategic </w:t>
      </w:r>
    </w:p>
    <w:p w14:paraId="74505590" w14:textId="77777777" w:rsidR="003F32E7" w:rsidRDefault="003F32E7" w:rsidP="00FC750F">
      <w:pPr>
        <w:jc w:val="both"/>
        <w:rPr>
          <w:rFonts w:ascii="Calibri" w:eastAsia="Calibri" w:hAnsi="Calibri" w:cs="Calibri"/>
          <w:color w:val="00183D"/>
          <w:sz w:val="21"/>
          <w:szCs w:val="21"/>
        </w:rPr>
      </w:pPr>
    </w:p>
    <w:p w14:paraId="24CFA276" w14:textId="77777777" w:rsidR="003F32E7" w:rsidRDefault="003F32E7" w:rsidP="00FC750F">
      <w:pPr>
        <w:jc w:val="both"/>
        <w:rPr>
          <w:rFonts w:ascii="Calibri" w:eastAsia="Calibri" w:hAnsi="Calibri" w:cs="Calibri"/>
          <w:color w:val="00183D"/>
          <w:sz w:val="21"/>
          <w:szCs w:val="21"/>
        </w:rPr>
      </w:pPr>
    </w:p>
    <w:p w14:paraId="15BCFC05" w14:textId="77777777" w:rsidR="00F425FD" w:rsidRDefault="00F425FD" w:rsidP="00FC750F">
      <w:pPr>
        <w:jc w:val="both"/>
        <w:rPr>
          <w:rFonts w:ascii="Calibri" w:eastAsia="Calibri" w:hAnsi="Calibri" w:cs="Calibri"/>
          <w:color w:val="00183D"/>
          <w:sz w:val="21"/>
          <w:szCs w:val="21"/>
        </w:rPr>
      </w:pPr>
    </w:p>
    <w:p w14:paraId="68F77A07" w14:textId="05CA81FC" w:rsidR="00FC750F" w:rsidRPr="00FC750F" w:rsidRDefault="00FC750F" w:rsidP="00FC750F">
      <w:pPr>
        <w:jc w:val="both"/>
        <w:rPr>
          <w:rFonts w:ascii="Calibri" w:eastAsia="Calibri" w:hAnsi="Calibri" w:cs="Calibri"/>
          <w:color w:val="00183D"/>
          <w:sz w:val="21"/>
          <w:szCs w:val="21"/>
        </w:rPr>
      </w:pPr>
      <w:r w:rsidRPr="00FC750F">
        <w:rPr>
          <w:rFonts w:ascii="Calibri" w:eastAsia="Calibri" w:hAnsi="Calibri" w:cs="Calibri"/>
          <w:color w:val="00183D"/>
          <w:sz w:val="21"/>
          <w:szCs w:val="21"/>
        </w:rPr>
        <w:t xml:space="preserve">geographic footprint covering </w:t>
      </w:r>
      <w:r w:rsidR="00BF2E42" w:rsidRPr="00FC750F">
        <w:rPr>
          <w:rFonts w:ascii="Calibri" w:eastAsia="Calibri" w:hAnsi="Calibri" w:cs="Calibri"/>
          <w:color w:val="00183D"/>
          <w:sz w:val="21"/>
          <w:szCs w:val="21"/>
        </w:rPr>
        <w:t>the area extensively</w:t>
      </w:r>
      <w:r w:rsidRPr="00FC750F">
        <w:rPr>
          <w:rFonts w:ascii="Calibri" w:eastAsia="Calibri" w:hAnsi="Calibri" w:cs="Calibri"/>
          <w:color w:val="00183D"/>
          <w:sz w:val="21"/>
          <w:szCs w:val="21"/>
        </w:rPr>
        <w:t>. Demand was sustained via big residential and commercial</w:t>
      </w:r>
      <w:r w:rsidR="00F425FD">
        <w:rPr>
          <w:rFonts w:ascii="Calibri" w:eastAsia="Calibri" w:hAnsi="Calibri" w:cs="Calibri"/>
          <w:color w:val="00183D"/>
          <w:sz w:val="21"/>
          <w:szCs w:val="21"/>
        </w:rPr>
        <w:t xml:space="preserve"> </w:t>
      </w:r>
      <w:r w:rsidRPr="00FC750F">
        <w:rPr>
          <w:rFonts w:ascii="Calibri" w:eastAsia="Calibri" w:hAnsi="Calibri" w:cs="Calibri"/>
          <w:color w:val="00183D"/>
          <w:sz w:val="21"/>
          <w:szCs w:val="21"/>
        </w:rPr>
        <w:t xml:space="preserve">projects, as well as large infrastructure projects which have foreign financial backing. Pricing and efficiency gains covered the accumulated negative impact of the cost increases, reversing the negative trend of the first half of 2022 and leading to an improved EBITDA. Our plants performed at high reliability levels, covering temporary market shortages on the part of </w:t>
      </w:r>
      <w:proofErr w:type="gramStart"/>
      <w:r w:rsidRPr="00FC750F">
        <w:rPr>
          <w:rFonts w:ascii="Calibri" w:eastAsia="Calibri" w:hAnsi="Calibri" w:cs="Calibri"/>
          <w:color w:val="00183D"/>
          <w:sz w:val="21"/>
          <w:szCs w:val="21"/>
        </w:rPr>
        <w:t>competitors</w:t>
      </w:r>
      <w:proofErr w:type="gramEnd"/>
      <w:r w:rsidRPr="00FC750F">
        <w:rPr>
          <w:rFonts w:ascii="Calibri" w:eastAsia="Calibri" w:hAnsi="Calibri" w:cs="Calibri"/>
          <w:color w:val="00183D"/>
          <w:sz w:val="21"/>
          <w:szCs w:val="21"/>
        </w:rPr>
        <w:t xml:space="preserve"> and thereby increasing our overall market share. On the product side, the Group introduced successful high-performing, lower CO</w:t>
      </w:r>
      <w:r w:rsidRPr="00FB2989">
        <w:rPr>
          <w:rFonts w:ascii="Calibri" w:eastAsia="Calibri" w:hAnsi="Calibri" w:cs="Calibri"/>
          <w:color w:val="00183D"/>
          <w:sz w:val="21"/>
          <w:szCs w:val="21"/>
          <w:vertAlign w:val="subscript"/>
        </w:rPr>
        <w:t>2</w:t>
      </w:r>
      <w:r w:rsidRPr="00FC750F">
        <w:rPr>
          <w:rFonts w:ascii="Calibri" w:eastAsia="Calibri" w:hAnsi="Calibri" w:cs="Calibri"/>
          <w:color w:val="00183D"/>
          <w:sz w:val="21"/>
          <w:szCs w:val="21"/>
        </w:rPr>
        <w:t xml:space="preserve"> cements across all countries, in line with our decarbonization blueprint for 2030.</w:t>
      </w:r>
    </w:p>
    <w:p w14:paraId="79114EB5" w14:textId="469E9AE9" w:rsidR="00FC750F" w:rsidRPr="00FC750F" w:rsidRDefault="00FC750F" w:rsidP="00FC750F">
      <w:pPr>
        <w:spacing w:after="120"/>
        <w:jc w:val="both"/>
        <w:rPr>
          <w:rFonts w:ascii="Calibri" w:eastAsia="Calibri" w:hAnsi="Calibri" w:cs="Calibri"/>
          <w:color w:val="00183D"/>
          <w:sz w:val="21"/>
          <w:szCs w:val="21"/>
        </w:rPr>
      </w:pPr>
      <w:r w:rsidRPr="00FC750F">
        <w:rPr>
          <w:rFonts w:ascii="Calibri" w:eastAsia="Calibri" w:hAnsi="Calibri" w:cs="Calibri"/>
          <w:color w:val="00183D"/>
          <w:sz w:val="21"/>
          <w:szCs w:val="21"/>
        </w:rPr>
        <w:t>Total sales for the Southeastern region in 2022 grew by 33% reaching €385.9</w:t>
      </w:r>
      <w:r w:rsidR="00150C2C">
        <w:rPr>
          <w:rFonts w:ascii="Calibri" w:eastAsia="Calibri" w:hAnsi="Calibri" w:cs="Calibri"/>
          <w:color w:val="00183D"/>
          <w:sz w:val="21"/>
          <w:szCs w:val="21"/>
        </w:rPr>
        <w:t xml:space="preserve"> </w:t>
      </w:r>
      <w:r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FC750F">
        <w:rPr>
          <w:rFonts w:ascii="Calibri" w:eastAsia="Calibri" w:hAnsi="Calibri" w:cs="Calibri"/>
          <w:color w:val="00183D"/>
          <w:sz w:val="21"/>
          <w:szCs w:val="21"/>
        </w:rPr>
        <w:t xml:space="preserve"> versus €290.6</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FC750F">
        <w:rPr>
          <w:rFonts w:ascii="Calibri" w:eastAsia="Calibri" w:hAnsi="Calibri" w:cs="Calibri"/>
          <w:color w:val="00183D"/>
          <w:sz w:val="21"/>
          <w:szCs w:val="21"/>
        </w:rPr>
        <w:t xml:space="preserve"> in 2021. In terms of EBITDA price increases </w:t>
      </w:r>
      <w:r w:rsidR="00252F5F">
        <w:rPr>
          <w:rFonts w:ascii="Calibri" w:eastAsia="Calibri" w:hAnsi="Calibri" w:cs="Calibri"/>
          <w:color w:val="00183D"/>
          <w:sz w:val="21"/>
          <w:szCs w:val="21"/>
        </w:rPr>
        <w:t xml:space="preserve">and cost efficiency measures </w:t>
      </w:r>
      <w:r w:rsidRPr="00FC750F">
        <w:rPr>
          <w:rFonts w:ascii="Calibri" w:eastAsia="Calibri" w:hAnsi="Calibri" w:cs="Calibri"/>
          <w:color w:val="00183D"/>
          <w:sz w:val="21"/>
          <w:szCs w:val="21"/>
        </w:rPr>
        <w:t xml:space="preserve">covered the increase in energy, raw </w:t>
      </w:r>
      <w:proofErr w:type="gramStart"/>
      <w:r w:rsidRPr="00FC750F">
        <w:rPr>
          <w:rFonts w:ascii="Calibri" w:eastAsia="Calibri" w:hAnsi="Calibri" w:cs="Calibri"/>
          <w:color w:val="00183D"/>
          <w:sz w:val="21"/>
          <w:szCs w:val="21"/>
        </w:rPr>
        <w:t>materials</w:t>
      </w:r>
      <w:proofErr w:type="gramEnd"/>
      <w:r w:rsidRPr="00FC750F">
        <w:rPr>
          <w:rFonts w:ascii="Calibri" w:eastAsia="Calibri" w:hAnsi="Calibri" w:cs="Calibri"/>
          <w:color w:val="00183D"/>
          <w:sz w:val="21"/>
          <w:szCs w:val="21"/>
        </w:rPr>
        <w:t xml:space="preserve"> and logistics costs, thus leading to €95.</w:t>
      </w:r>
      <w:r w:rsidR="003633A0">
        <w:rPr>
          <w:rFonts w:ascii="Calibri" w:eastAsia="Calibri" w:hAnsi="Calibri" w:cs="Calibri"/>
          <w:color w:val="00183D"/>
          <w:sz w:val="21"/>
          <w:szCs w:val="21"/>
        </w:rPr>
        <w:t>0</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FC750F">
        <w:rPr>
          <w:rFonts w:ascii="Calibri" w:eastAsia="Calibri" w:hAnsi="Calibri" w:cs="Calibri"/>
          <w:color w:val="00183D"/>
          <w:sz w:val="21"/>
          <w:szCs w:val="21"/>
        </w:rPr>
        <w:t xml:space="preserve"> in 2022, up by 16% versus the previous year’s €81.9</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FC750F">
        <w:rPr>
          <w:rFonts w:ascii="Calibri" w:eastAsia="Calibri" w:hAnsi="Calibri" w:cs="Calibri"/>
          <w:color w:val="00183D"/>
          <w:sz w:val="21"/>
          <w:szCs w:val="21"/>
        </w:rPr>
        <w:t>.</w:t>
      </w:r>
    </w:p>
    <w:p w14:paraId="009BFFCA" w14:textId="77777777" w:rsidR="00EB1279" w:rsidRPr="0087712A" w:rsidRDefault="00EB1279" w:rsidP="00820CD1">
      <w:pPr>
        <w:spacing w:after="200" w:line="276" w:lineRule="auto"/>
        <w:rPr>
          <w:rFonts w:ascii="Calibri" w:eastAsia="Calibri" w:hAnsi="Calibri" w:cs="Calibri"/>
          <w:b/>
          <w:bCs/>
          <w:color w:val="00183D"/>
          <w:sz w:val="28"/>
          <w:lang w:val="en-GB"/>
        </w:rPr>
      </w:pPr>
    </w:p>
    <w:p w14:paraId="36C7536D" w14:textId="7AB15878" w:rsidR="004A7016" w:rsidRPr="0087712A" w:rsidRDefault="007E726F" w:rsidP="00820CD1">
      <w:pPr>
        <w:spacing w:after="200" w:line="276" w:lineRule="auto"/>
        <w:rPr>
          <w:rFonts w:ascii="Calibri" w:eastAsia="Calibri" w:hAnsi="Calibri" w:cs="Calibri"/>
          <w:b/>
          <w:bCs/>
          <w:color w:val="00183D"/>
          <w:sz w:val="28"/>
          <w:lang w:val="en-GB"/>
        </w:rPr>
      </w:pPr>
      <w:r w:rsidRPr="0087712A">
        <w:rPr>
          <w:rFonts w:ascii="Calibri" w:hAnsi="Calibri" w:cs="Calibri"/>
          <w:noProof/>
          <w:color w:val="00183D"/>
        </w:rPr>
        <mc:AlternateContent>
          <mc:Choice Requires="wps">
            <w:drawing>
              <wp:anchor distT="0" distB="0" distL="114300" distR="114300" simplePos="0" relativeHeight="251658254" behindDoc="0" locked="0" layoutInCell="1" allowOverlap="1" wp14:anchorId="297F141A" wp14:editId="3D0B97E5">
                <wp:simplePos x="0" y="0"/>
                <wp:positionH relativeFrom="page">
                  <wp:posOffset>4422140</wp:posOffset>
                </wp:positionH>
                <wp:positionV relativeFrom="paragraph">
                  <wp:posOffset>356870</wp:posOffset>
                </wp:positionV>
                <wp:extent cx="1031875" cy="32004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875" cy="320040"/>
                        </a:xfrm>
                        <a:prstGeom prst="rect">
                          <a:avLst/>
                        </a:prstGeom>
                      </wps:spPr>
                      <wps:txbx>
                        <w:txbxContent>
                          <w:p w14:paraId="1847B84E" w14:textId="77777777" w:rsidR="00A90423" w:rsidRPr="004F1566" w:rsidRDefault="00A90423" w:rsidP="004A7016">
                            <w:pPr>
                              <w:spacing w:line="216" w:lineRule="auto"/>
                              <w:jc w:val="center"/>
                              <w:rPr>
                                <w:rFonts w:ascii="Calibri" w:hAnsi="Calibri"/>
                                <w:b/>
                                <w:color w:val="00183D"/>
                                <w:sz w:val="20"/>
                                <w:szCs w:val="20"/>
                                <w:lang w:val="en-CA"/>
                              </w:rPr>
                            </w:pPr>
                            <w:r w:rsidRPr="004F1566">
                              <w:rPr>
                                <w:rFonts w:ascii="Calibri" w:hAnsi="Calibri"/>
                                <w:b/>
                                <w:color w:val="00183D"/>
                                <w:sz w:val="20"/>
                                <w:szCs w:val="20"/>
                                <w:lang w:val="en-CA"/>
                              </w:rPr>
                              <w:t>Total assets</w:t>
                            </w:r>
                          </w:p>
                          <w:p w14:paraId="12763599"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5BF2D6F8"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97F141A" id="Rectangle 67" o:spid="_x0000_s1040" style="position:absolute;margin-left:348.2pt;margin-top:28.1pt;width:81.25pt;height:25.2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" filled="f" stroked="f">
                <v:textbox>
                  <w:txbxContent>
                    <w:p w14:paraId="1847B84E" w14:textId="77777777" w:rsidR="00A90423" w:rsidRPr="004F1566" w:rsidRDefault="00A90423" w:rsidP="004A7016">
                      <w:pPr>
                        <w:spacing w:line="216" w:lineRule="auto"/>
                        <w:jc w:val="center"/>
                        <w:rPr>
                          <w:rFonts w:ascii="Calibri" w:hAnsi="Calibri"/>
                          <w:b/>
                          <w:color w:val="00183D"/>
                          <w:sz w:val="20"/>
                          <w:szCs w:val="20"/>
                          <w:lang w:val="en-CA"/>
                        </w:rPr>
                      </w:pPr>
                      <w:r w:rsidRPr="004F1566">
                        <w:rPr>
                          <w:rFonts w:ascii="Calibri" w:hAnsi="Calibri"/>
                          <w:b/>
                          <w:color w:val="00183D"/>
                          <w:sz w:val="20"/>
                          <w:szCs w:val="20"/>
                          <w:lang w:val="en-CA"/>
                        </w:rPr>
                        <w:t>Total assets</w:t>
                      </w:r>
                    </w:p>
                    <w:p w14:paraId="12763599"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5BF2D6F8" w14:textId="77777777" w:rsidR="00A90423" w:rsidRPr="00621C7D" w:rsidRDefault="00A90423" w:rsidP="004A7016">
                      <w:pPr>
                        <w:pStyle w:val="NormalWeb"/>
                        <w:spacing w:before="12" w:beforeAutospacing="0" w:after="0" w:afterAutospacing="0" w:line="216" w:lineRule="auto"/>
                        <w:ind w:left="29"/>
                        <w:rPr>
                          <w:rFonts w:ascii="Arial" w:hAnsi="Arial" w:cs="Arial"/>
                          <w:color w:val="00183D"/>
                        </w:rPr>
                      </w:pPr>
                    </w:p>
                  </w:txbxContent>
                </v:textbox>
                <w10:wrap anchorx="page"/>
              </v:rect>
            </w:pict>
          </mc:Fallback>
        </mc:AlternateContent>
      </w:r>
      <w:r w:rsidRPr="0087712A">
        <w:rPr>
          <w:rFonts w:ascii="Calibri" w:hAnsi="Calibri" w:cs="Calibri"/>
          <w:noProof/>
          <w:color w:val="00183D"/>
        </w:rPr>
        <mc:AlternateContent>
          <mc:Choice Requires="wps">
            <w:drawing>
              <wp:anchor distT="0" distB="0" distL="114300" distR="114300" simplePos="0" relativeHeight="251658253" behindDoc="0" locked="0" layoutInCell="1" allowOverlap="1" wp14:anchorId="3B014802" wp14:editId="714A88DF">
                <wp:simplePos x="0" y="0"/>
                <wp:positionH relativeFrom="column">
                  <wp:posOffset>1895475</wp:posOffset>
                </wp:positionH>
                <wp:positionV relativeFrom="paragraph">
                  <wp:posOffset>356870</wp:posOffset>
                </wp:positionV>
                <wp:extent cx="1189990" cy="31051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10515"/>
                        </a:xfrm>
                        <a:prstGeom prst="rect">
                          <a:avLst/>
                        </a:prstGeom>
                      </wps:spPr>
                      <wps:txbx>
                        <w:txbxContent>
                          <w:p w14:paraId="059A502E" w14:textId="77777777" w:rsidR="00A90423" w:rsidRPr="004F1566" w:rsidRDefault="00A90423" w:rsidP="004A7016">
                            <w:pPr>
                              <w:spacing w:line="216" w:lineRule="auto"/>
                              <w:jc w:val="center"/>
                              <w:rPr>
                                <w:rFonts w:ascii="Calibri" w:hAnsi="Calibri"/>
                                <w:b/>
                                <w:color w:val="00183D"/>
                                <w:sz w:val="20"/>
                                <w:szCs w:val="20"/>
                                <w:lang w:val="en-CA"/>
                              </w:rPr>
                            </w:pPr>
                            <w:r w:rsidRPr="004F1566">
                              <w:rPr>
                                <w:rFonts w:ascii="Calibri" w:hAnsi="Calibri"/>
                                <w:b/>
                                <w:color w:val="00183D"/>
                                <w:sz w:val="20"/>
                                <w:szCs w:val="20"/>
                                <w:lang w:val="en-CA"/>
                              </w:rPr>
                              <w:t>EBITDA</w:t>
                            </w:r>
                          </w:p>
                          <w:p w14:paraId="0C0299A7"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5ACD6432" w14:textId="77777777" w:rsidR="00A90423" w:rsidRPr="00621C7D" w:rsidRDefault="00A90423" w:rsidP="004A7016">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3B014802" id="Rectangle 66" o:spid="_x0000_s1041" style="position:absolute;margin-left:149.25pt;margin-top:28.1pt;width:93.7pt;height:24.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" filled="f" stroked="f">
                <v:textbox>
                  <w:txbxContent>
                    <w:p w14:paraId="059A502E" w14:textId="77777777" w:rsidR="00A90423" w:rsidRPr="004F1566" w:rsidRDefault="00A90423" w:rsidP="004A7016">
                      <w:pPr>
                        <w:spacing w:line="216" w:lineRule="auto"/>
                        <w:jc w:val="center"/>
                        <w:rPr>
                          <w:rFonts w:ascii="Calibri" w:hAnsi="Calibri"/>
                          <w:b/>
                          <w:color w:val="00183D"/>
                          <w:sz w:val="20"/>
                          <w:szCs w:val="20"/>
                          <w:lang w:val="en-CA"/>
                        </w:rPr>
                      </w:pPr>
                      <w:r w:rsidRPr="004F1566">
                        <w:rPr>
                          <w:rFonts w:ascii="Calibri" w:hAnsi="Calibri"/>
                          <w:b/>
                          <w:color w:val="00183D"/>
                          <w:sz w:val="20"/>
                          <w:szCs w:val="20"/>
                          <w:lang w:val="en-CA"/>
                        </w:rPr>
                        <w:t>EBITDA</w:t>
                      </w:r>
                    </w:p>
                    <w:p w14:paraId="0C0299A7" w14:textId="77777777" w:rsidR="00A90423" w:rsidRPr="00621C7D" w:rsidRDefault="00A90423" w:rsidP="004A7016">
                      <w:pPr>
                        <w:spacing w:line="216" w:lineRule="auto"/>
                        <w:jc w:val="center"/>
                        <w:rPr>
                          <w:rFonts w:ascii="Calibri Light" w:hAnsi="Calibri Light" w:cs="Calibri Light"/>
                          <w:color w:val="00183D"/>
                          <w:sz w:val="18"/>
                          <w:szCs w:val="18"/>
                          <w:lang w:val="en-CA"/>
                        </w:rPr>
                      </w:pPr>
                    </w:p>
                    <w:p w14:paraId="5ACD6432" w14:textId="77777777" w:rsidR="00A90423" w:rsidRPr="00621C7D" w:rsidRDefault="00A90423" w:rsidP="004A7016">
                      <w:pPr>
                        <w:pStyle w:val="NormalWeb"/>
                        <w:spacing w:before="12" w:beforeAutospacing="0" w:after="0" w:afterAutospacing="0" w:line="216" w:lineRule="auto"/>
                        <w:jc w:val="center"/>
                        <w:rPr>
                          <w:color w:val="00183D"/>
                        </w:rPr>
                      </w:pPr>
                    </w:p>
                  </w:txbxContent>
                </v:textbox>
              </v:rect>
            </w:pict>
          </mc:Fallback>
        </mc:AlternateContent>
      </w:r>
      <w:r w:rsidR="004A7016" w:rsidRPr="0087712A">
        <w:rPr>
          <w:rFonts w:ascii="Calibri" w:eastAsia="Calibri" w:hAnsi="Calibri" w:cs="Calibri"/>
          <w:b/>
          <w:bCs/>
          <w:color w:val="00183D"/>
          <w:sz w:val="28"/>
          <w:lang w:val="en-GB"/>
        </w:rPr>
        <w:t>Eastern Mediterranean</w:t>
      </w:r>
    </w:p>
    <w:p w14:paraId="754D92BD" w14:textId="1AC4CD2D" w:rsidR="0023470B" w:rsidRPr="0087712A" w:rsidRDefault="007E726F" w:rsidP="00EB018C">
      <w:pPr>
        <w:jc w:val="both"/>
        <w:rPr>
          <w:rFonts w:ascii="Calibri" w:eastAsia="Calibri" w:hAnsi="Calibri" w:cs="Calibri"/>
          <w:color w:val="00183D"/>
          <w:sz w:val="21"/>
          <w:szCs w:val="21"/>
        </w:rPr>
      </w:pPr>
      <w:r w:rsidRPr="0087712A">
        <w:rPr>
          <w:rFonts w:ascii="Calibri" w:hAnsi="Calibri" w:cs="Calibri"/>
          <w:noProof/>
          <w:color w:val="00183D"/>
        </w:rPr>
        <mc:AlternateContent>
          <mc:Choice Requires="wps">
            <w:drawing>
              <wp:anchor distT="0" distB="0" distL="114300" distR="114300" simplePos="0" relativeHeight="251658252" behindDoc="0" locked="0" layoutInCell="1" allowOverlap="1" wp14:anchorId="5FFEEA9F" wp14:editId="2D1F70FD">
                <wp:simplePos x="0" y="0"/>
                <wp:positionH relativeFrom="margin">
                  <wp:posOffset>248920</wp:posOffset>
                </wp:positionH>
                <wp:positionV relativeFrom="paragraph">
                  <wp:posOffset>9525</wp:posOffset>
                </wp:positionV>
                <wp:extent cx="1189990" cy="393065"/>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065"/>
                        </a:xfrm>
                        <a:prstGeom prst="rect">
                          <a:avLst/>
                        </a:prstGeom>
                      </wps:spPr>
                      <wps:txbx>
                        <w:txbxContent>
                          <w:p w14:paraId="00C5FFE3" w14:textId="3520B452"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46F66355" w14:textId="77777777" w:rsidR="00A90423" w:rsidRPr="0070134B" w:rsidRDefault="00A90423" w:rsidP="004A7016">
                            <w:pPr>
                              <w:pStyle w:val="NormalWeb"/>
                              <w:spacing w:before="12" w:beforeAutospacing="0" w:after="0" w:afterAutospacing="0" w:line="216" w:lineRule="auto"/>
                              <w:jc w:val="center"/>
                              <w:rPr>
                                <w:color w:val="00183D"/>
                                <w:lang w:val="en-US"/>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FFEEA9F" id="Rectangle 65" o:spid="_x0000_s1042" style="position:absolute;left:0;text-align:left;margin-left:19.6pt;margin-top:.75pt;width:93.7pt;height:30.9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" filled="f" stroked="f">
                <v:textbox>
                  <w:txbxContent>
                    <w:p w14:paraId="00C5FFE3" w14:textId="3520B452" w:rsidR="00A90423" w:rsidRPr="008F0A16" w:rsidRDefault="0070134B" w:rsidP="004A7016">
                      <w:pPr>
                        <w:spacing w:line="216" w:lineRule="auto"/>
                        <w:jc w:val="center"/>
                        <w:rPr>
                          <w:rFonts w:ascii="Calibri" w:hAnsi="Calibri"/>
                          <w:b/>
                          <w:bCs/>
                          <w:color w:val="00183D"/>
                          <w:sz w:val="20"/>
                          <w:szCs w:val="18"/>
                          <w:lang w:val="en-CA"/>
                        </w:rPr>
                      </w:pPr>
                      <w:r>
                        <w:rPr>
                          <w:rFonts w:ascii="Calibri" w:hAnsi="Calibri"/>
                          <w:b/>
                          <w:bCs/>
                          <w:color w:val="00183D"/>
                          <w:sz w:val="20"/>
                          <w:szCs w:val="18"/>
                          <w:lang w:val="en-CA"/>
                        </w:rPr>
                        <w:t>Sales</w:t>
                      </w:r>
                    </w:p>
                    <w:p w14:paraId="46F66355" w14:textId="77777777" w:rsidR="00A90423" w:rsidRPr="0070134B" w:rsidRDefault="00A90423" w:rsidP="004A7016">
                      <w:pPr>
                        <w:pStyle w:val="NormalWeb"/>
                        <w:spacing w:before="12" w:beforeAutospacing="0" w:after="0" w:afterAutospacing="0" w:line="216" w:lineRule="auto"/>
                        <w:jc w:val="center"/>
                        <w:rPr>
                          <w:color w:val="00183D"/>
                          <w:lang w:val="en-US"/>
                        </w:rPr>
                      </w:pPr>
                    </w:p>
                  </w:txbxContent>
                </v:textbox>
                <w10:wrap anchorx="margin"/>
              </v:rect>
            </w:pict>
          </mc:Fallback>
        </mc:AlternateContent>
      </w:r>
    </w:p>
    <w:p w14:paraId="3C034051" w14:textId="5E62AEDA" w:rsidR="0023470B" w:rsidRPr="0087712A" w:rsidRDefault="007E726F" w:rsidP="00EB018C">
      <w:pPr>
        <w:jc w:val="both"/>
        <w:rPr>
          <w:rFonts w:ascii="Calibri" w:eastAsia="Calibri" w:hAnsi="Calibri" w:cs="Calibri"/>
          <w:color w:val="00183D"/>
          <w:sz w:val="21"/>
          <w:szCs w:val="21"/>
        </w:rPr>
      </w:pPr>
      <w:r w:rsidRPr="0087712A">
        <w:rPr>
          <w:rFonts w:ascii="Calibri" w:hAnsi="Calibri" w:cs="Calibri"/>
          <w:noProof/>
        </w:rPr>
        <w:drawing>
          <wp:inline distT="0" distB="0" distL="0" distR="0" wp14:anchorId="0ADAD7CF" wp14:editId="0CCEAB2F">
            <wp:extent cx="1600200" cy="1527175"/>
            <wp:effectExtent l="0" t="0" r="0" b="0"/>
            <wp:docPr id="23" name="Chart 23">
              <a:extLst xmlns:a="http://schemas.openxmlformats.org/drawingml/2006/main">
                <a:ext uri="{FF2B5EF4-FFF2-40B4-BE49-F238E27FC236}">
                  <a16:creationId xmlns:a16="http://schemas.microsoft.com/office/drawing/2014/main" id="{00000000-0008-0000-02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7712A">
        <w:rPr>
          <w:rFonts w:ascii="Calibri" w:hAnsi="Calibri" w:cs="Calibri"/>
          <w:noProof/>
        </w:rPr>
        <w:drawing>
          <wp:inline distT="0" distB="0" distL="0" distR="0" wp14:anchorId="79FCE1F4" wp14:editId="6F89F00E">
            <wp:extent cx="1726405" cy="1500187"/>
            <wp:effectExtent l="0" t="0" r="7620" b="5080"/>
            <wp:docPr id="24" name="Chart 24">
              <a:extLst xmlns:a="http://schemas.openxmlformats.org/drawingml/2006/main">
                <a:ext uri="{FF2B5EF4-FFF2-40B4-BE49-F238E27FC236}">
                  <a16:creationId xmlns:a16="http://schemas.microsoft.com/office/drawing/2014/main" id="{00000000-0008-0000-02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7712A">
        <w:rPr>
          <w:rFonts w:ascii="Calibri" w:hAnsi="Calibri" w:cs="Calibri"/>
          <w:noProof/>
        </w:rPr>
        <w:drawing>
          <wp:inline distT="0" distB="0" distL="0" distR="0" wp14:anchorId="2D0AADBE" wp14:editId="25BC05C3">
            <wp:extent cx="1750154" cy="1463386"/>
            <wp:effectExtent l="0" t="0" r="2540" b="3810"/>
            <wp:docPr id="26" name="Chart 26">
              <a:extLst xmlns:a="http://schemas.openxmlformats.org/drawingml/2006/main">
                <a:ext uri="{FF2B5EF4-FFF2-40B4-BE49-F238E27FC236}">
                  <a16:creationId xmlns:a16="http://schemas.microsoft.com/office/drawing/2014/main" id="{00000000-0008-0000-02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B74250" w14:textId="0D24F778" w:rsidR="009511A4" w:rsidRPr="009511A4" w:rsidRDefault="009511A4" w:rsidP="009511A4">
      <w:pPr>
        <w:spacing w:after="120"/>
        <w:jc w:val="both"/>
        <w:rPr>
          <w:rFonts w:ascii="Calibri" w:eastAsia="Calibri" w:hAnsi="Calibri" w:cs="Calibri"/>
          <w:color w:val="00183D"/>
          <w:sz w:val="21"/>
          <w:szCs w:val="21"/>
        </w:rPr>
      </w:pPr>
      <w:r w:rsidRPr="009511A4">
        <w:rPr>
          <w:rFonts w:ascii="Calibri" w:eastAsia="Calibri" w:hAnsi="Calibri" w:cs="Calibri"/>
          <w:color w:val="00183D"/>
          <w:sz w:val="21"/>
          <w:szCs w:val="21"/>
        </w:rPr>
        <w:t xml:space="preserve">EMED performance improved in a volatile environment. In Egypt, the market regulation agreement put in place by the government in July 2021 </w:t>
      </w:r>
      <w:r w:rsidR="00252F5F">
        <w:rPr>
          <w:rFonts w:ascii="Calibri" w:eastAsia="Calibri" w:hAnsi="Calibri" w:cs="Calibri"/>
          <w:color w:val="00183D"/>
          <w:sz w:val="21"/>
          <w:szCs w:val="21"/>
        </w:rPr>
        <w:t>was</w:t>
      </w:r>
      <w:r w:rsidRPr="009511A4">
        <w:rPr>
          <w:rFonts w:ascii="Calibri" w:eastAsia="Calibri" w:hAnsi="Calibri" w:cs="Calibri"/>
          <w:color w:val="00183D"/>
          <w:sz w:val="21"/>
          <w:szCs w:val="21"/>
        </w:rPr>
        <w:t xml:space="preserve"> extended and continued to balance supply and demand, resulting in healthier price levels. Cement demand was on a positive trend for a second consecutive year, with stronger construction activity stemming from state infrastructure projects and affordable housing. Cement consumption in the country was up, while TITAN recorded volume growth and a significant sales increase supported by higher prices and expansion into new cement products. However, Egypt's economy was significantly hit by the consequences of the war in Ukraine. Depending both on wheat imports as well as tourism revenue, the country </w:t>
      </w:r>
      <w:r w:rsidR="003A539F">
        <w:rPr>
          <w:rFonts w:ascii="Calibri" w:eastAsia="Calibri" w:hAnsi="Calibri" w:cs="Calibri"/>
          <w:color w:val="00183D"/>
          <w:sz w:val="21"/>
          <w:szCs w:val="21"/>
        </w:rPr>
        <w:t>suffered</w:t>
      </w:r>
      <w:r w:rsidRPr="009511A4">
        <w:rPr>
          <w:rFonts w:ascii="Calibri" w:eastAsia="Calibri" w:hAnsi="Calibri" w:cs="Calibri"/>
          <w:color w:val="00183D"/>
          <w:sz w:val="21"/>
          <w:szCs w:val="21"/>
        </w:rPr>
        <w:t xml:space="preserve"> under tremendous foreign exchange shortages, that resulted to ca. 50% devaluation of the Egyptian Pound and a spike in </w:t>
      </w:r>
      <w:r w:rsidR="003A539F">
        <w:rPr>
          <w:rFonts w:ascii="Calibri" w:eastAsia="Calibri" w:hAnsi="Calibri" w:cs="Calibri"/>
          <w:color w:val="00183D"/>
          <w:sz w:val="21"/>
          <w:szCs w:val="21"/>
        </w:rPr>
        <w:t>interest</w:t>
      </w:r>
      <w:r w:rsidRPr="009511A4">
        <w:rPr>
          <w:rFonts w:ascii="Calibri" w:eastAsia="Calibri" w:hAnsi="Calibri" w:cs="Calibri"/>
          <w:color w:val="00183D"/>
          <w:sz w:val="21"/>
          <w:szCs w:val="21"/>
        </w:rPr>
        <w:t xml:space="preserve"> rates. In December, Egypt agreed to a $3 billion financial support package with the IMF, committing to a broad range of monetary and fiscal reforms as well as a greater role for the private sector. Implementation of this plan is moving slowly. </w:t>
      </w:r>
    </w:p>
    <w:p w14:paraId="2C77CEF4" w14:textId="77777777" w:rsidR="009511A4" w:rsidRPr="009511A4" w:rsidRDefault="009511A4" w:rsidP="009511A4">
      <w:pPr>
        <w:spacing w:after="120"/>
        <w:jc w:val="both"/>
        <w:rPr>
          <w:rFonts w:ascii="Calibri" w:eastAsia="Calibri" w:hAnsi="Calibri" w:cs="Calibri"/>
          <w:color w:val="00183D"/>
          <w:sz w:val="21"/>
          <w:szCs w:val="21"/>
        </w:rPr>
      </w:pPr>
      <w:r w:rsidRPr="009511A4">
        <w:rPr>
          <w:rFonts w:ascii="Calibri" w:eastAsia="Calibri" w:hAnsi="Calibri" w:cs="Calibri"/>
          <w:color w:val="00183D"/>
          <w:sz w:val="21"/>
          <w:szCs w:val="21"/>
        </w:rPr>
        <w:t xml:space="preserve">In Turkey, domestic cement volumes have declined as the country is in a tight macroeconomic spot and suffers from hyperinflation (reached the level of 90% at its peak). Many government projects have stopped, and overall investment activity remains muted. Across different micro markets in the country however, diverging trends can be observed: areas which are attractive tourist destinations or popular internal migration havens, i.e., the Marmara region, have witnessed a growth in consumption in the year, while others, like more inland and eastward regions have witnessed a slowdown in demand. Capitalizing on the recent launch of its new cement export terminal in the Black Sea port of Samsun, the Group started channeling production of Type IL cement to the US. Significant price increases have successfully offset production costs hikes, also affected by the international energy turbulences. </w:t>
      </w:r>
    </w:p>
    <w:p w14:paraId="0B4B42F5" w14:textId="643595C8" w:rsidR="009511A4" w:rsidRPr="009511A4" w:rsidRDefault="009511A4" w:rsidP="009511A4">
      <w:pPr>
        <w:spacing w:after="120"/>
        <w:jc w:val="both"/>
        <w:rPr>
          <w:rFonts w:ascii="Calibri" w:eastAsia="Calibri" w:hAnsi="Calibri" w:cs="Calibri"/>
          <w:color w:val="00183D"/>
          <w:sz w:val="21"/>
          <w:szCs w:val="21"/>
        </w:rPr>
      </w:pPr>
      <w:r w:rsidRPr="009511A4">
        <w:rPr>
          <w:rFonts w:ascii="Calibri" w:eastAsia="Calibri" w:hAnsi="Calibri" w:cs="Calibri"/>
          <w:color w:val="00183D"/>
          <w:sz w:val="21"/>
          <w:szCs w:val="21"/>
        </w:rPr>
        <w:t>Total sales for the Eastern Mediterranean for 2022 grew by 48% to reach €255.6</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versus €172.8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00150C2C" w:rsidRPr="009511A4">
        <w:rPr>
          <w:rFonts w:ascii="Calibri" w:eastAsia="Calibri" w:hAnsi="Calibri" w:cs="Calibri"/>
          <w:color w:val="00183D"/>
          <w:sz w:val="21"/>
          <w:szCs w:val="21"/>
        </w:rPr>
        <w:t xml:space="preserve"> </w:t>
      </w:r>
      <w:r w:rsidRPr="009511A4">
        <w:rPr>
          <w:rFonts w:ascii="Calibri" w:eastAsia="Calibri" w:hAnsi="Calibri" w:cs="Calibri"/>
          <w:color w:val="00183D"/>
          <w:sz w:val="21"/>
          <w:szCs w:val="21"/>
        </w:rPr>
        <w:t>in 2021 and EBITDA improved by 66% to €</w:t>
      </w:r>
      <w:r w:rsidR="00622303">
        <w:rPr>
          <w:rFonts w:ascii="Calibri" w:eastAsia="Calibri" w:hAnsi="Calibri" w:cs="Calibri"/>
          <w:color w:val="00183D"/>
          <w:sz w:val="21"/>
          <w:szCs w:val="21"/>
        </w:rPr>
        <w:t>19.6</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versus €11.8</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both testifying to a better performance and successful demand and cost mitigation strategies.</w:t>
      </w:r>
    </w:p>
    <w:p w14:paraId="1E7241D0" w14:textId="77777777" w:rsidR="006D5FA8" w:rsidRDefault="006D5FA8" w:rsidP="000B4974">
      <w:pPr>
        <w:spacing w:after="120"/>
        <w:jc w:val="both"/>
        <w:rPr>
          <w:rFonts w:ascii="Calibri" w:eastAsia="Calibri" w:hAnsi="Calibri" w:cs="Calibri"/>
          <w:color w:val="00183D"/>
          <w:sz w:val="21"/>
          <w:szCs w:val="21"/>
        </w:rPr>
      </w:pPr>
    </w:p>
    <w:p w14:paraId="04BAA0B4" w14:textId="77777777" w:rsidR="006D5FA8" w:rsidRDefault="006D5FA8" w:rsidP="000B4974">
      <w:pPr>
        <w:spacing w:after="120"/>
        <w:jc w:val="both"/>
        <w:rPr>
          <w:rFonts w:ascii="Calibri" w:eastAsia="Calibri" w:hAnsi="Calibri" w:cs="Calibri"/>
          <w:color w:val="00183D"/>
          <w:sz w:val="21"/>
          <w:szCs w:val="21"/>
        </w:rPr>
      </w:pPr>
    </w:p>
    <w:p w14:paraId="54C6DD3C" w14:textId="78F26934" w:rsidR="000D687E" w:rsidRPr="0087712A" w:rsidRDefault="008F0A17" w:rsidP="000D687E">
      <w:pPr>
        <w:spacing w:after="200" w:line="276" w:lineRule="auto"/>
        <w:rPr>
          <w:rFonts w:ascii="Calibri" w:eastAsia="Calibri" w:hAnsi="Calibri" w:cs="Calibri"/>
          <w:b/>
          <w:bCs/>
          <w:color w:val="00183D"/>
          <w:sz w:val="28"/>
          <w:lang w:val="en-GB"/>
        </w:rPr>
      </w:pPr>
      <w:r w:rsidRPr="0087712A">
        <w:rPr>
          <w:rFonts w:ascii="Calibri" w:eastAsia="Calibri" w:hAnsi="Calibri" w:cs="Calibri"/>
          <w:b/>
          <w:bCs/>
          <w:color w:val="00183D"/>
          <w:sz w:val="28"/>
          <w:lang w:val="en-GB"/>
        </w:rPr>
        <w:lastRenderedPageBreak/>
        <w:t>Brazil (Joint Venture)</w:t>
      </w:r>
    </w:p>
    <w:p w14:paraId="4BDFA01D" w14:textId="77777777" w:rsidR="009511A4" w:rsidRPr="009511A4" w:rsidRDefault="009511A4" w:rsidP="009511A4">
      <w:pPr>
        <w:jc w:val="both"/>
        <w:rPr>
          <w:rFonts w:ascii="Calibri" w:eastAsia="Calibri" w:hAnsi="Calibri" w:cs="Calibri"/>
          <w:color w:val="00183D"/>
          <w:sz w:val="21"/>
          <w:szCs w:val="21"/>
        </w:rPr>
      </w:pPr>
      <w:r w:rsidRPr="009511A4">
        <w:rPr>
          <w:rFonts w:ascii="Calibri" w:eastAsia="Calibri" w:hAnsi="Calibri" w:cs="Calibri"/>
          <w:color w:val="00183D"/>
          <w:sz w:val="21"/>
          <w:szCs w:val="21"/>
        </w:rPr>
        <w:t xml:space="preserve">In Brazil, after three consecutive years of growth, cement demand declined by 2.8% in 2022. The decline was attributed to slower economic growth and higher interest rates, which increased the cost of real estate financing, thereby negatively affecting housing starts. Cement consumption in the northeast, </w:t>
      </w:r>
      <w:proofErr w:type="spellStart"/>
      <w:r w:rsidRPr="009511A4">
        <w:rPr>
          <w:rFonts w:ascii="Calibri" w:eastAsia="Calibri" w:hAnsi="Calibri" w:cs="Calibri"/>
          <w:color w:val="00183D"/>
          <w:sz w:val="21"/>
          <w:szCs w:val="21"/>
        </w:rPr>
        <w:t>Apodi’s</w:t>
      </w:r>
      <w:proofErr w:type="spellEnd"/>
      <w:r w:rsidRPr="009511A4">
        <w:rPr>
          <w:rFonts w:ascii="Calibri" w:eastAsia="Calibri" w:hAnsi="Calibri" w:cs="Calibri"/>
          <w:color w:val="00183D"/>
          <w:sz w:val="21"/>
          <w:szCs w:val="21"/>
        </w:rPr>
        <w:t xml:space="preserve"> natural market, declined by a higher rate due to above-average wet weather during the year and lower disposable income levels prevalent in the region. </w:t>
      </w:r>
      <w:proofErr w:type="spellStart"/>
      <w:r w:rsidRPr="009511A4">
        <w:rPr>
          <w:rFonts w:ascii="Calibri" w:eastAsia="Calibri" w:hAnsi="Calibri" w:cs="Calibri"/>
          <w:color w:val="00183D"/>
          <w:sz w:val="21"/>
          <w:szCs w:val="21"/>
        </w:rPr>
        <w:t>Apodi</w:t>
      </w:r>
      <w:proofErr w:type="spellEnd"/>
      <w:r w:rsidRPr="009511A4">
        <w:rPr>
          <w:rFonts w:ascii="Calibri" w:eastAsia="Calibri" w:hAnsi="Calibri" w:cs="Calibri"/>
          <w:color w:val="00183D"/>
          <w:sz w:val="21"/>
          <w:szCs w:val="21"/>
        </w:rPr>
        <w:t xml:space="preserve"> managed to offset the lower sales volumes and increasing input cost by focusing on product mix and pricing. Sales expanded in the more lucrative bulk cement segment, serving the pre-cast industry, the expansion of the Fortaleza airport and the growing regional wind park sector.</w:t>
      </w:r>
    </w:p>
    <w:p w14:paraId="5D0E5BE3" w14:textId="288F2723" w:rsidR="009511A4" w:rsidRPr="009511A4" w:rsidRDefault="009511A4" w:rsidP="009511A4">
      <w:pPr>
        <w:jc w:val="both"/>
        <w:rPr>
          <w:rFonts w:ascii="Calibri" w:eastAsia="Calibri" w:hAnsi="Calibri" w:cs="Calibri"/>
          <w:color w:val="00183D"/>
          <w:sz w:val="21"/>
          <w:szCs w:val="21"/>
        </w:rPr>
      </w:pPr>
      <w:r w:rsidRPr="009511A4">
        <w:rPr>
          <w:rFonts w:ascii="Calibri" w:eastAsia="Calibri" w:hAnsi="Calibri" w:cs="Calibri"/>
          <w:color w:val="00183D"/>
          <w:sz w:val="21"/>
          <w:szCs w:val="21"/>
        </w:rPr>
        <w:t xml:space="preserve">As a result, </w:t>
      </w:r>
      <w:proofErr w:type="spellStart"/>
      <w:r w:rsidRPr="009511A4">
        <w:rPr>
          <w:rFonts w:ascii="Calibri" w:eastAsia="Calibri" w:hAnsi="Calibri" w:cs="Calibri"/>
          <w:color w:val="00183D"/>
          <w:sz w:val="21"/>
          <w:szCs w:val="21"/>
        </w:rPr>
        <w:t>Apodi</w:t>
      </w:r>
      <w:proofErr w:type="spellEnd"/>
      <w:r w:rsidRPr="009511A4">
        <w:rPr>
          <w:rFonts w:ascii="Calibri" w:eastAsia="Calibri" w:hAnsi="Calibri" w:cs="Calibri"/>
          <w:color w:val="00183D"/>
          <w:sz w:val="21"/>
          <w:szCs w:val="21"/>
        </w:rPr>
        <w:t xml:space="preserve"> posted a significant increase in sales to €115.9</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versus €83.8</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in 2021, while EBITDA reached €21.1</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versus €19.5</w:t>
      </w:r>
      <w:r w:rsidR="00150C2C">
        <w:rPr>
          <w:rFonts w:ascii="Calibri" w:eastAsia="Calibri" w:hAnsi="Calibri" w:cs="Calibri"/>
          <w:color w:val="00183D"/>
          <w:sz w:val="21"/>
          <w:szCs w:val="21"/>
        </w:rPr>
        <w:t xml:space="preserve"> </w:t>
      </w:r>
      <w:r w:rsidR="00150C2C" w:rsidRPr="00FC750F">
        <w:rPr>
          <w:rFonts w:ascii="Calibri" w:eastAsia="Calibri" w:hAnsi="Calibri" w:cs="Calibri"/>
          <w:color w:val="00183D"/>
          <w:sz w:val="21"/>
          <w:szCs w:val="21"/>
        </w:rPr>
        <w:t>m</w:t>
      </w:r>
      <w:r w:rsidR="00150C2C">
        <w:rPr>
          <w:rFonts w:ascii="Calibri" w:eastAsia="Calibri" w:hAnsi="Calibri" w:cs="Calibri"/>
          <w:color w:val="00183D"/>
          <w:sz w:val="21"/>
          <w:szCs w:val="21"/>
        </w:rPr>
        <w:t>illion</w:t>
      </w:r>
      <w:r w:rsidRPr="009511A4">
        <w:rPr>
          <w:rFonts w:ascii="Calibri" w:eastAsia="Calibri" w:hAnsi="Calibri" w:cs="Calibri"/>
          <w:color w:val="00183D"/>
          <w:sz w:val="21"/>
          <w:szCs w:val="21"/>
        </w:rPr>
        <w:t xml:space="preserve"> in 2021. </w:t>
      </w:r>
    </w:p>
    <w:p w14:paraId="3139573B" w14:textId="77777777" w:rsidR="00FD4569" w:rsidRPr="0087712A" w:rsidRDefault="00FD4569" w:rsidP="0013707C">
      <w:pPr>
        <w:jc w:val="both"/>
        <w:rPr>
          <w:rFonts w:ascii="Calibri" w:hAnsi="Calibri" w:cs="Calibri"/>
          <w:color w:val="00183D"/>
          <w:sz w:val="21"/>
          <w:szCs w:val="21"/>
        </w:rPr>
      </w:pPr>
    </w:p>
    <w:p w14:paraId="2813BED9" w14:textId="77777777" w:rsidR="00D11E97" w:rsidRPr="0087712A" w:rsidRDefault="00D11E97" w:rsidP="00833EE9">
      <w:pPr>
        <w:jc w:val="both"/>
        <w:rPr>
          <w:rFonts w:ascii="Calibri" w:eastAsia="Calibri" w:hAnsi="Calibri" w:cs="Calibri"/>
          <w:color w:val="00183D"/>
          <w:lang w:eastAsia="el-GR"/>
        </w:rPr>
      </w:pPr>
    </w:p>
    <w:p w14:paraId="32328310" w14:textId="4281FD77" w:rsidR="007557AB" w:rsidRPr="0087712A" w:rsidRDefault="007557AB" w:rsidP="007557AB">
      <w:pPr>
        <w:pStyle w:val="C"/>
        <w:spacing w:line="240" w:lineRule="auto"/>
        <w:jc w:val="both"/>
        <w:rPr>
          <w:rFonts w:eastAsia="Calibri" w:cs="Calibri"/>
          <w:noProof/>
          <w:lang w:val="en-US" w:eastAsia="el-GR"/>
        </w:rPr>
      </w:pPr>
      <w:r w:rsidRPr="0087712A">
        <w:rPr>
          <w:rFonts w:eastAsia="Calibri" w:cs="Calibri"/>
          <w:noProof/>
          <w:lang w:val="en-US"/>
        </w:rPr>
        <mc:AlternateContent>
          <mc:Choice Requires="wps">
            <w:drawing>
              <wp:anchor distT="0" distB="0" distL="114300" distR="114300" simplePos="0" relativeHeight="251658259" behindDoc="0" locked="0" layoutInCell="1" allowOverlap="1" wp14:anchorId="49B8E89A" wp14:editId="55C049F0">
                <wp:simplePos x="0" y="0"/>
                <wp:positionH relativeFrom="column">
                  <wp:posOffset>2209</wp:posOffset>
                </wp:positionH>
                <wp:positionV relativeFrom="paragraph">
                  <wp:posOffset>227074</wp:posOffset>
                </wp:positionV>
                <wp:extent cx="6112446" cy="0"/>
                <wp:effectExtent l="0" t="0" r="9525" b="12700"/>
                <wp:wrapNone/>
                <wp:docPr id="22" name="Straight Connector 22"/>
                <wp:cNvGraphicFramePr/>
                <a:graphic xmlns:a="http://schemas.openxmlformats.org/drawingml/2006/main">
                  <a:graphicData uri="http://schemas.microsoft.com/office/word/2010/wordprocessingShape">
                    <wps:wsp>
                      <wps:cNvCnPr/>
                      <wps:spPr>
                        <a:xfrm>
                          <a:off x="0" y="0"/>
                          <a:ext cx="6112446"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69E094" id="Straight Connector 22" o:spid="_x0000_s1026" style="position:absolute;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9pt" to="48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" strokecolor="#00183d" strokeweight=".25pt"/>
            </w:pict>
          </mc:Fallback>
        </mc:AlternateContent>
      </w:r>
      <w:r w:rsidRPr="0087712A">
        <w:rPr>
          <w:rFonts w:eastAsia="Calibri" w:cs="Calibri"/>
          <w:noProof/>
          <w:lang w:val="en-US" w:eastAsia="el-GR"/>
        </w:rPr>
        <w:t xml:space="preserve"> </w:t>
      </w:r>
      <w:bookmarkStart w:id="1" w:name="_Hlk129357203"/>
      <w:r w:rsidR="00174679" w:rsidRPr="0087712A">
        <w:rPr>
          <w:rFonts w:eastAsia="Calibri" w:cs="Calibri"/>
          <w:noProof/>
          <w:lang w:val="en-US" w:eastAsia="el-GR"/>
        </w:rPr>
        <w:t>Digital Transformation</w:t>
      </w:r>
    </w:p>
    <w:p w14:paraId="7B229D39" w14:textId="5CD2D9E8" w:rsidR="00382007" w:rsidRPr="00382007" w:rsidRDefault="00382007" w:rsidP="00382007">
      <w:pPr>
        <w:pStyle w:val="C"/>
        <w:spacing w:after="120" w:line="240" w:lineRule="auto"/>
        <w:jc w:val="both"/>
        <w:rPr>
          <w:rFonts w:eastAsia="Calibri" w:cs="Calibri"/>
          <w:b w:val="0"/>
          <w:sz w:val="21"/>
          <w:szCs w:val="21"/>
          <w:lang w:val="en-US" w:eastAsia="el-GR" w:bidi="el-GR"/>
        </w:rPr>
      </w:pPr>
      <w:r w:rsidRPr="00382007">
        <w:rPr>
          <w:rFonts w:eastAsia="Calibri" w:cs="Calibri"/>
          <w:b w:val="0"/>
          <w:sz w:val="21"/>
          <w:szCs w:val="21"/>
          <w:lang w:val="en-US" w:eastAsia="el-GR" w:bidi="el-GR"/>
        </w:rPr>
        <w:t>Digitalization is a strategic objective for TITAN and Industry 4.0 provides TITAN with a great opportunity. As such, and in the course of 2022, the Group continued with its strategy of rolling out a growth-oriented, streamlined, digitally empowered operating model for Titan Group. The focus of activities, projects and ongoing investments cover all pillars of the Group’s operating architecture, namely manufacturing, supply chain integration, and customer experience. </w:t>
      </w:r>
    </w:p>
    <w:p w14:paraId="68D66A1A" w14:textId="384D6552" w:rsidR="00B13665" w:rsidRPr="00B13665" w:rsidRDefault="00B13665" w:rsidP="00B13665">
      <w:pPr>
        <w:pStyle w:val="C"/>
        <w:spacing w:after="120" w:line="240" w:lineRule="auto"/>
        <w:jc w:val="both"/>
        <w:rPr>
          <w:rFonts w:eastAsia="Calibri" w:cs="Calibri"/>
          <w:b w:val="0"/>
          <w:sz w:val="21"/>
          <w:szCs w:val="21"/>
          <w:lang w:val="en-US" w:eastAsia="el-GR" w:bidi="el-GR"/>
        </w:rPr>
      </w:pPr>
      <w:r w:rsidRPr="00B13665">
        <w:rPr>
          <w:rFonts w:eastAsia="Calibri" w:cs="Calibri"/>
          <w:b w:val="0"/>
          <w:sz w:val="21"/>
          <w:szCs w:val="21"/>
          <w:lang w:val="en-US" w:eastAsia="el-GR" w:bidi="el-GR"/>
        </w:rPr>
        <w:t xml:space="preserve">On the manufacturing side, the Group continued the rollout of AI-based Real Time Optimizer (RTO) solutions for its cement manufacturing lines and developed new ones. As of 2022, the Group has installed RTOs in 8 plants in the USA, Greece, </w:t>
      </w:r>
      <w:proofErr w:type="gramStart"/>
      <w:r w:rsidRPr="00B13665">
        <w:rPr>
          <w:rFonts w:eastAsia="Calibri" w:cs="Calibri"/>
          <w:b w:val="0"/>
          <w:sz w:val="21"/>
          <w:szCs w:val="21"/>
          <w:lang w:val="en-US" w:eastAsia="el-GR" w:bidi="el-GR"/>
        </w:rPr>
        <w:t>Brazil</w:t>
      </w:r>
      <w:proofErr w:type="gramEnd"/>
      <w:r w:rsidRPr="00B13665">
        <w:rPr>
          <w:rFonts w:eastAsia="Calibri" w:cs="Calibri"/>
          <w:b w:val="0"/>
          <w:sz w:val="21"/>
          <w:szCs w:val="21"/>
          <w:lang w:val="en-US" w:eastAsia="el-GR" w:bidi="el-GR"/>
        </w:rPr>
        <w:t xml:space="preserve"> and Southeastern Europe. With the use of RTOs, the Group realizes an increase in the clinker and cement output, owing both to process optimization and breakdown avoidance, as well as significant savings in thermal energy and electricity consumption. In addition, TITAN is rolling out a machine-learning-based failure prediction system tailored to the operating environment of cement plants, thus increasing their reliability and reducing the cost of downtime and unplanned maintenance. As of 2022, this system has been installed in plants in the USA, Egypt and Southeastern Europe. Titan has capitalized on its machine learning failure prediction solutions offering and set up its first digital business “</w:t>
      </w:r>
      <w:proofErr w:type="spellStart"/>
      <w:r w:rsidRPr="00B13665">
        <w:rPr>
          <w:rFonts w:eastAsia="Calibri" w:cs="Calibri"/>
          <w:b w:val="0"/>
          <w:sz w:val="21"/>
          <w:szCs w:val="21"/>
          <w:lang w:val="en-US" w:eastAsia="el-GR" w:bidi="el-GR"/>
        </w:rPr>
        <w:t>CemAI</w:t>
      </w:r>
      <w:proofErr w:type="spellEnd"/>
      <w:r w:rsidRPr="00B13665">
        <w:rPr>
          <w:rFonts w:eastAsia="Calibri" w:cs="Calibri"/>
          <w:b w:val="0"/>
          <w:sz w:val="21"/>
          <w:szCs w:val="21"/>
          <w:lang w:val="en-US" w:eastAsia="el-GR" w:bidi="el-GR"/>
        </w:rPr>
        <w:t xml:space="preserve">” which makes the digital service available to global external customers. Having just launched in 2022, </w:t>
      </w:r>
      <w:proofErr w:type="spellStart"/>
      <w:r w:rsidRPr="00B13665">
        <w:rPr>
          <w:rFonts w:eastAsia="Calibri" w:cs="Calibri"/>
          <w:b w:val="0"/>
          <w:sz w:val="21"/>
          <w:szCs w:val="21"/>
          <w:lang w:val="en-US" w:eastAsia="el-GR" w:bidi="el-GR"/>
        </w:rPr>
        <w:t>CemAI</w:t>
      </w:r>
      <w:proofErr w:type="spellEnd"/>
      <w:r w:rsidRPr="00B13665">
        <w:rPr>
          <w:rFonts w:eastAsia="Calibri" w:cs="Calibri"/>
          <w:b w:val="0"/>
          <w:sz w:val="21"/>
          <w:szCs w:val="21"/>
          <w:lang w:val="en-US" w:eastAsia="el-GR" w:bidi="el-GR"/>
        </w:rPr>
        <w:t xml:space="preserve"> already has two paying customer</w:t>
      </w:r>
      <w:r w:rsidR="004B1516">
        <w:rPr>
          <w:rFonts w:eastAsia="Calibri" w:cs="Calibri"/>
          <w:b w:val="0"/>
          <w:sz w:val="21"/>
          <w:szCs w:val="21"/>
          <w:lang w:val="en-US" w:eastAsia="el-GR" w:bidi="el-GR"/>
        </w:rPr>
        <w:t>s</w:t>
      </w:r>
      <w:r w:rsidRPr="00B13665">
        <w:rPr>
          <w:rFonts w:eastAsia="Calibri" w:cs="Calibri"/>
          <w:b w:val="0"/>
          <w:sz w:val="21"/>
          <w:szCs w:val="21"/>
          <w:lang w:val="en-US" w:eastAsia="el-GR" w:bidi="el-GR"/>
        </w:rPr>
        <w:t xml:space="preserve"> on board and a healthy sales pipeline in place. </w:t>
      </w:r>
    </w:p>
    <w:p w14:paraId="33A9232F" w14:textId="03284999" w:rsidR="000529E2" w:rsidRDefault="00B13665" w:rsidP="004E330F">
      <w:pPr>
        <w:pStyle w:val="C"/>
        <w:spacing w:after="120" w:line="240" w:lineRule="auto"/>
        <w:jc w:val="both"/>
        <w:rPr>
          <w:rFonts w:eastAsia="Calibri" w:cs="Calibri"/>
          <w:b w:val="0"/>
          <w:sz w:val="21"/>
          <w:szCs w:val="21"/>
          <w:lang w:val="en-US" w:eastAsia="el-GR" w:bidi="el-GR"/>
        </w:rPr>
      </w:pPr>
      <w:r w:rsidRPr="00B13665">
        <w:rPr>
          <w:rFonts w:eastAsia="Calibri" w:cs="Calibri"/>
          <w:b w:val="0"/>
          <w:sz w:val="21"/>
          <w:szCs w:val="21"/>
          <w:lang w:val="en-US" w:eastAsia="el-GR" w:bidi="el-GR"/>
        </w:rPr>
        <w:t>Focus was also placed on further developing the Group’s distribution network optimization advanced analytics solution, using the power of supply chain data and digital twins technology. The technology allows for spare parts inventory optimization (rollout already completed in Titan America) and management of such diverse sourcing and production inputs as Next Generation demand forecasting and Refractory Lifetime forecasting, enabling a more cost-efficient supply chain. At the same time, the Group is working on improving and digitalizing the way the Group interacts with its customers, to both improve customer experience and create a more efficient commercial operating model. To that end, as of 2022, TITAN has deployed digital customer applications in business units in the USA and Europe.</w:t>
      </w:r>
    </w:p>
    <w:p w14:paraId="6DE94970" w14:textId="769FB973" w:rsidR="00871061" w:rsidRPr="0087712A" w:rsidRDefault="00197604" w:rsidP="00871061">
      <w:pPr>
        <w:pStyle w:val="C"/>
        <w:spacing w:line="240" w:lineRule="auto"/>
        <w:jc w:val="both"/>
        <w:rPr>
          <w:rFonts w:eastAsia="Calibri" w:cs="Calibri"/>
          <w:noProof/>
          <w:lang w:val="en-US" w:eastAsia="el-GR"/>
        </w:rPr>
      </w:pPr>
      <w:r w:rsidRPr="0087712A">
        <w:rPr>
          <w:rFonts w:eastAsia="Calibri" w:cs="Calibri"/>
          <w:noProof/>
          <w:lang w:val="en-US"/>
        </w:rPr>
        <mc:AlternateContent>
          <mc:Choice Requires="wps">
            <w:drawing>
              <wp:anchor distT="0" distB="0" distL="114300" distR="114300" simplePos="0" relativeHeight="251658263" behindDoc="0" locked="0" layoutInCell="1" allowOverlap="1" wp14:anchorId="3384CE42" wp14:editId="21B2D68F">
                <wp:simplePos x="0" y="0"/>
                <wp:positionH relativeFrom="column">
                  <wp:posOffset>0</wp:posOffset>
                </wp:positionH>
                <wp:positionV relativeFrom="paragraph">
                  <wp:posOffset>204826</wp:posOffset>
                </wp:positionV>
                <wp:extent cx="6112446" cy="0"/>
                <wp:effectExtent l="0" t="0" r="9525" b="12700"/>
                <wp:wrapNone/>
                <wp:docPr id="34" name="Straight Connector 34"/>
                <wp:cNvGraphicFramePr/>
                <a:graphic xmlns:a="http://schemas.openxmlformats.org/drawingml/2006/main">
                  <a:graphicData uri="http://schemas.microsoft.com/office/word/2010/wordprocessingShape">
                    <wps:wsp>
                      <wps:cNvCnPr/>
                      <wps:spPr>
                        <a:xfrm>
                          <a:off x="0" y="0"/>
                          <a:ext cx="6112446"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F7887" id="Straight Connector 34" o:spid="_x0000_s1026" style="position:absolute;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81.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" strokecolor="#00183d" strokeweight=".25pt"/>
            </w:pict>
          </mc:Fallback>
        </mc:AlternateContent>
      </w:r>
      <w:r w:rsidR="00871061">
        <w:rPr>
          <w:rFonts w:eastAsia="Calibri" w:cs="Calibri"/>
          <w:noProof/>
          <w:lang w:val="en-US" w:eastAsia="el-GR"/>
        </w:rPr>
        <w:t>Innovation updates</w:t>
      </w:r>
    </w:p>
    <w:p w14:paraId="23A0192E" w14:textId="754FC20B" w:rsidR="00F624A2" w:rsidRDefault="00F624A2" w:rsidP="00F624A2">
      <w:pPr>
        <w:pStyle w:val="C"/>
        <w:spacing w:after="120" w:line="240" w:lineRule="auto"/>
        <w:jc w:val="both"/>
        <w:rPr>
          <w:rFonts w:eastAsia="Calibri" w:cs="Calibri"/>
          <w:b w:val="0"/>
          <w:bCs w:val="0"/>
          <w:sz w:val="21"/>
          <w:szCs w:val="21"/>
          <w:lang w:val="en-US"/>
        </w:rPr>
      </w:pPr>
      <w:r w:rsidRPr="00BB5139">
        <w:rPr>
          <w:rFonts w:eastAsia="Calibri" w:cs="Calibri"/>
          <w:b w:val="0"/>
          <w:bCs w:val="0"/>
          <w:sz w:val="21"/>
          <w:szCs w:val="21"/>
          <w:lang w:val="en-US"/>
        </w:rPr>
        <w:t xml:space="preserve">TITAN continued to invest in research, development, and innovation activities in </w:t>
      </w:r>
      <w:r w:rsidR="00E727FC">
        <w:rPr>
          <w:rFonts w:eastAsia="Calibri" w:cs="Calibri"/>
          <w:b w:val="0"/>
          <w:bCs w:val="0"/>
          <w:sz w:val="21"/>
          <w:szCs w:val="21"/>
          <w:lang w:val="en-US"/>
        </w:rPr>
        <w:t xml:space="preserve">2022 </w:t>
      </w:r>
      <w:r w:rsidR="00F03C70">
        <w:rPr>
          <w:rFonts w:eastAsia="Calibri" w:cs="Calibri"/>
          <w:b w:val="0"/>
          <w:bCs w:val="0"/>
          <w:sz w:val="21"/>
          <w:szCs w:val="21"/>
          <w:lang w:val="en-US"/>
        </w:rPr>
        <w:t>across</w:t>
      </w:r>
      <w:r w:rsidR="00E87902">
        <w:rPr>
          <w:rFonts w:eastAsia="Calibri" w:cs="Calibri"/>
          <w:b w:val="0"/>
          <w:bCs w:val="0"/>
          <w:sz w:val="21"/>
          <w:szCs w:val="21"/>
          <w:lang w:val="en-US"/>
        </w:rPr>
        <w:t xml:space="preserve"> all markets</w:t>
      </w:r>
      <w:r w:rsidRPr="00BB5139">
        <w:rPr>
          <w:rFonts w:eastAsia="Calibri" w:cs="Calibri"/>
          <w:b w:val="0"/>
          <w:bCs w:val="0"/>
          <w:sz w:val="21"/>
          <w:szCs w:val="21"/>
          <w:lang w:val="en-US"/>
        </w:rPr>
        <w:t>.</w:t>
      </w:r>
      <w:r w:rsidR="00E87902">
        <w:rPr>
          <w:rFonts w:eastAsia="Calibri" w:cs="Calibri"/>
          <w:b w:val="0"/>
          <w:bCs w:val="0"/>
          <w:sz w:val="21"/>
          <w:szCs w:val="21"/>
          <w:lang w:val="en-US"/>
        </w:rPr>
        <w:t xml:space="preserve"> Innovation thematic fields selected by the Group refer to decarbonization of construction and use of new mix technologies</w:t>
      </w:r>
      <w:r w:rsidR="007A5286">
        <w:rPr>
          <w:rFonts w:eastAsia="Calibri" w:cs="Calibri"/>
          <w:b w:val="0"/>
          <w:bCs w:val="0"/>
          <w:sz w:val="21"/>
          <w:szCs w:val="21"/>
          <w:lang w:val="en-US"/>
        </w:rPr>
        <w:t>.</w:t>
      </w:r>
      <w:r w:rsidRPr="00BB5139">
        <w:rPr>
          <w:rFonts w:eastAsia="Calibri" w:cs="Calibri"/>
          <w:b w:val="0"/>
          <w:bCs w:val="0"/>
          <w:sz w:val="21"/>
          <w:szCs w:val="21"/>
          <w:lang w:val="en-US"/>
        </w:rPr>
        <w:t xml:space="preserve"> Our H2CEM project is the only Greek project to have been approved for state aid as part of the Important Project of Common European Interest (IPCEI) Hy2Use, following rigorous assessment by the European Commission. With the goal to enhance the substitution of fossil fuels with green hydrogen and other sustainably sourced fuels, H2CEM concerns the production of green hydrogen through electrolysis, powered by renewable energy sources. During the year we successfully also tested novel carbon-capture and utilization technologies, proceeding with two pilot demonstrations at our Kamari cement plant</w:t>
      </w:r>
      <w:r w:rsidR="00345B7F">
        <w:rPr>
          <w:rFonts w:eastAsia="Calibri" w:cs="Calibri"/>
          <w:b w:val="0"/>
          <w:bCs w:val="0"/>
          <w:sz w:val="21"/>
          <w:szCs w:val="21"/>
          <w:lang w:val="en-US"/>
        </w:rPr>
        <w:t xml:space="preserve"> </w:t>
      </w:r>
      <w:r w:rsidRPr="00BB5139">
        <w:rPr>
          <w:rFonts w:eastAsia="Calibri" w:cs="Calibri"/>
          <w:b w:val="0"/>
          <w:bCs w:val="0"/>
          <w:sz w:val="21"/>
          <w:szCs w:val="21"/>
          <w:lang w:val="en-US"/>
        </w:rPr>
        <w:t>in collaboration with our partners in the EU Horizon2020 projects RECODE and CARMOF.</w:t>
      </w:r>
    </w:p>
    <w:p w14:paraId="3011E5BC" w14:textId="77777777" w:rsidR="003F32E7" w:rsidRPr="00BB5139" w:rsidRDefault="003F32E7" w:rsidP="00F624A2">
      <w:pPr>
        <w:pStyle w:val="C"/>
        <w:spacing w:after="120" w:line="240" w:lineRule="auto"/>
        <w:jc w:val="both"/>
        <w:rPr>
          <w:rFonts w:eastAsia="Calibri" w:cs="Calibri"/>
          <w:b w:val="0"/>
          <w:bCs w:val="0"/>
          <w:sz w:val="21"/>
          <w:szCs w:val="21"/>
          <w:lang w:val="en-US"/>
        </w:rPr>
      </w:pPr>
    </w:p>
    <w:p w14:paraId="47986570" w14:textId="0016F2BF" w:rsidR="00552536" w:rsidRPr="0087712A" w:rsidRDefault="00552536" w:rsidP="00552536">
      <w:pPr>
        <w:pStyle w:val="C"/>
        <w:spacing w:line="240" w:lineRule="auto"/>
        <w:jc w:val="both"/>
        <w:rPr>
          <w:rFonts w:eastAsia="Calibri" w:cs="Calibri"/>
          <w:noProof/>
          <w:lang w:val="en-US" w:eastAsia="el-GR"/>
        </w:rPr>
      </w:pPr>
      <w:r w:rsidRPr="0087712A">
        <w:rPr>
          <w:rFonts w:eastAsia="Calibri" w:cs="Calibri"/>
          <w:noProof/>
          <w:lang w:val="en-US"/>
        </w:rPr>
        <w:lastRenderedPageBreak/>
        <mc:AlternateContent>
          <mc:Choice Requires="wps">
            <w:drawing>
              <wp:anchor distT="0" distB="0" distL="114300" distR="114300" simplePos="0" relativeHeight="251658258" behindDoc="0" locked="0" layoutInCell="1" allowOverlap="1" wp14:anchorId="28F2D423" wp14:editId="06C1087A">
                <wp:simplePos x="0" y="0"/>
                <wp:positionH relativeFrom="margin">
                  <wp:align>left</wp:align>
                </wp:positionH>
                <wp:positionV relativeFrom="paragraph">
                  <wp:posOffset>250728</wp:posOffset>
                </wp:positionV>
                <wp:extent cx="6116491" cy="19210"/>
                <wp:effectExtent l="0" t="0" r="36830" b="19050"/>
                <wp:wrapNone/>
                <wp:docPr id="10" name="Straight Connector 10"/>
                <wp:cNvGraphicFramePr/>
                <a:graphic xmlns:a="http://schemas.openxmlformats.org/drawingml/2006/main">
                  <a:graphicData uri="http://schemas.microsoft.com/office/word/2010/wordprocessingShape">
                    <wps:wsp>
                      <wps:cNvCnPr/>
                      <wps:spPr>
                        <a:xfrm>
                          <a:off x="0" y="0"/>
                          <a:ext cx="6116491" cy="19210"/>
                        </a:xfrm>
                        <a:prstGeom prst="line">
                          <a:avLst/>
                        </a:prstGeom>
                        <a:noFill/>
                        <a:ln w="3175" cap="flat" cmpd="sng" algn="ctr">
                          <a:solidFill>
                            <a:srgbClr val="0018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7DB563" id="Straight Connector 1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75pt" to="481.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" strokecolor="#00183d" strokeweight=".25pt">
                <w10:wrap anchorx="margin"/>
              </v:line>
            </w:pict>
          </mc:Fallback>
        </mc:AlternateContent>
      </w:r>
      <w:r w:rsidRPr="0087712A">
        <w:rPr>
          <w:rFonts w:eastAsia="Calibri" w:cs="Calibri"/>
          <w:noProof/>
          <w:lang w:val="en-US" w:eastAsia="el-GR"/>
        </w:rPr>
        <w:t>ESG Performance review</w:t>
      </w:r>
    </w:p>
    <w:p w14:paraId="1C099618" w14:textId="7EF78E73" w:rsidR="0037385D" w:rsidRPr="006E6044" w:rsidRDefault="004530DE" w:rsidP="006E6044">
      <w:pPr>
        <w:pStyle w:val="C"/>
        <w:spacing w:after="0" w:line="240" w:lineRule="auto"/>
        <w:jc w:val="both"/>
        <w:rPr>
          <w:rFonts w:eastAsia="Calibri" w:cs="Calibri"/>
          <w:b w:val="0"/>
          <w:bCs w:val="0"/>
          <w:sz w:val="20"/>
          <w:szCs w:val="20"/>
          <w:lang w:val="en-US"/>
        </w:rPr>
      </w:pPr>
      <w:r w:rsidRPr="006E6044">
        <w:rPr>
          <w:rFonts w:eastAsia="Calibri" w:cs="Calibri"/>
          <w:b w:val="0"/>
          <w:bCs w:val="0"/>
          <w:sz w:val="20"/>
          <w:szCs w:val="20"/>
          <w:lang w:val="en-US"/>
        </w:rPr>
        <w:t>The Group is well on track to achieve its ESG targets for 2025 and beyond, having made tangible progress in all focus areas: decarbonization, growth-enabling work environment, positive local impact and responsible sourcing, all underpinned by good governance, transparency</w:t>
      </w:r>
      <w:r w:rsidR="00651127" w:rsidRPr="006E6044">
        <w:rPr>
          <w:rFonts w:eastAsia="Calibri" w:cs="Calibri"/>
          <w:b w:val="0"/>
          <w:bCs w:val="0"/>
          <w:sz w:val="20"/>
          <w:szCs w:val="20"/>
          <w:lang w:val="en-US"/>
        </w:rPr>
        <w:t>,</w:t>
      </w:r>
      <w:r w:rsidRPr="006E6044">
        <w:rPr>
          <w:rFonts w:eastAsia="Calibri" w:cs="Calibri"/>
          <w:b w:val="0"/>
          <w:bCs w:val="0"/>
          <w:sz w:val="20"/>
          <w:szCs w:val="20"/>
          <w:lang w:val="en-US"/>
        </w:rPr>
        <w:t xml:space="preserve"> and business ethics. Our overall ESG Performance has been acknowledged by world-leading rating agencies. In 2022, we received an MSCI ESG Rating of “AA” for a second consecutive year, an improved ESG Risk Rating of 26.9 from Sustainalytics as well as an improved score of 2 for environment by the ISS </w:t>
      </w:r>
      <w:proofErr w:type="spellStart"/>
      <w:r w:rsidRPr="006E6044">
        <w:rPr>
          <w:rFonts w:eastAsia="Calibri" w:cs="Calibri"/>
          <w:b w:val="0"/>
          <w:bCs w:val="0"/>
          <w:sz w:val="20"/>
          <w:szCs w:val="20"/>
          <w:lang w:val="en-US"/>
        </w:rPr>
        <w:t>QualityScore</w:t>
      </w:r>
      <w:proofErr w:type="spellEnd"/>
      <w:r w:rsidRPr="006E6044">
        <w:rPr>
          <w:rFonts w:eastAsia="Calibri" w:cs="Calibri"/>
          <w:b w:val="0"/>
          <w:bCs w:val="0"/>
          <w:sz w:val="20"/>
          <w:szCs w:val="20"/>
          <w:lang w:val="en-US"/>
        </w:rPr>
        <w:t>.</w:t>
      </w:r>
    </w:p>
    <w:p w14:paraId="3726E30F" w14:textId="77777777" w:rsidR="005A1BA5" w:rsidRPr="00E011F2" w:rsidRDefault="005A1BA5" w:rsidP="006E6044">
      <w:pPr>
        <w:pStyle w:val="C"/>
        <w:spacing w:after="0" w:line="240" w:lineRule="auto"/>
        <w:jc w:val="both"/>
        <w:rPr>
          <w:rFonts w:cs="Calibri"/>
          <w:sz w:val="2"/>
          <w:szCs w:val="2"/>
        </w:rPr>
      </w:pPr>
    </w:p>
    <w:p w14:paraId="7AC2BCF2" w14:textId="5A9592A0" w:rsidR="00EF3BD3" w:rsidRPr="00E011F2" w:rsidRDefault="00EF3BD3" w:rsidP="006E6044">
      <w:pPr>
        <w:pStyle w:val="C"/>
        <w:spacing w:after="0" w:line="240" w:lineRule="auto"/>
        <w:jc w:val="both"/>
        <w:rPr>
          <w:rFonts w:cs="Calibri"/>
          <w:sz w:val="24"/>
          <w:szCs w:val="22"/>
        </w:rPr>
      </w:pPr>
      <w:r w:rsidRPr="00E011F2">
        <w:rPr>
          <w:rFonts w:cs="Calibri"/>
          <w:sz w:val="24"/>
          <w:szCs w:val="22"/>
        </w:rPr>
        <w:t xml:space="preserve">Decarbonization </w:t>
      </w:r>
    </w:p>
    <w:p w14:paraId="2FF5DF26" w14:textId="671B9D1B" w:rsidR="00BB5139" w:rsidRDefault="00BB5139" w:rsidP="006E6044">
      <w:pPr>
        <w:pStyle w:val="C"/>
        <w:spacing w:after="0" w:line="240" w:lineRule="auto"/>
        <w:jc w:val="both"/>
        <w:rPr>
          <w:rFonts w:eastAsia="Calibri" w:cs="Calibri"/>
          <w:b w:val="0"/>
          <w:bCs w:val="0"/>
          <w:sz w:val="20"/>
          <w:szCs w:val="20"/>
          <w:lang w:val="en-US"/>
        </w:rPr>
      </w:pPr>
      <w:r w:rsidRPr="006E6044">
        <w:rPr>
          <w:rFonts w:eastAsia="Calibri" w:cs="Calibri"/>
          <w:b w:val="0"/>
          <w:bCs w:val="0"/>
          <w:sz w:val="20"/>
          <w:szCs w:val="20"/>
          <w:lang w:val="en-US"/>
        </w:rPr>
        <w:t xml:space="preserve">Addressing climate change remains at the top of the Group’s sustainability agenda. TITAN was among the first three cement companies in the world to have its greenhouse gas (GHG) emissions reduction targets approved by the Science Based Targets initiative (SBTi) as being aligned with the 1.5oC pathway. The Group also received a top "A" score on climate action from CDP, making it one of only three cement companies globally to achieve this level in 2022. This recognition acknowledges the Group's leadership in corporate transparency and performance on climate change. </w:t>
      </w:r>
      <w:bookmarkStart w:id="2" w:name="_Hlk128736255"/>
      <w:r w:rsidRPr="006E6044">
        <w:rPr>
          <w:rFonts w:eastAsia="Calibri" w:cs="Calibri"/>
          <w:b w:val="0"/>
          <w:bCs w:val="0"/>
          <w:sz w:val="20"/>
          <w:szCs w:val="20"/>
          <w:lang w:val="en-US"/>
        </w:rPr>
        <w:t xml:space="preserve">In 2022 the Group reduced its specific net emissions to 619 kg CO₂ per </w:t>
      </w:r>
      <w:proofErr w:type="spellStart"/>
      <w:r w:rsidRPr="006E6044">
        <w:rPr>
          <w:rFonts w:eastAsia="Calibri" w:cs="Calibri"/>
          <w:b w:val="0"/>
          <w:bCs w:val="0"/>
          <w:sz w:val="20"/>
          <w:szCs w:val="20"/>
          <w:lang w:val="en-US"/>
        </w:rPr>
        <w:t>tonne</w:t>
      </w:r>
      <w:proofErr w:type="spellEnd"/>
      <w:r w:rsidRPr="006E6044">
        <w:rPr>
          <w:rFonts w:eastAsia="Calibri" w:cs="Calibri"/>
          <w:b w:val="0"/>
          <w:bCs w:val="0"/>
          <w:sz w:val="20"/>
          <w:szCs w:val="20"/>
          <w:lang w:val="en-US"/>
        </w:rPr>
        <w:t xml:space="preserve"> of cementitious product, recording a 5% reduction compared to 2021 levels</w:t>
      </w:r>
      <w:r w:rsidR="00B22BEB" w:rsidRPr="00BA5A1C">
        <w:rPr>
          <w:rFonts w:eastAsia="Calibri" w:cs="Calibri"/>
          <w:b w:val="0"/>
          <w:bCs w:val="0"/>
          <w:sz w:val="20"/>
          <w:szCs w:val="20"/>
          <w:lang w:val="en-US"/>
        </w:rPr>
        <w:t>, which corresponds to a reduction of CO</w:t>
      </w:r>
      <w:r w:rsidR="00A06E41" w:rsidRPr="00BA5A1C">
        <w:rPr>
          <w:rFonts w:eastAsia="Calibri" w:cs="Calibri"/>
          <w:b w:val="0"/>
          <w:bCs w:val="0"/>
          <w:sz w:val="20"/>
          <w:szCs w:val="20"/>
          <w:vertAlign w:val="subscript"/>
          <w:lang w:val="en-US"/>
        </w:rPr>
        <w:t>2</w:t>
      </w:r>
      <w:r w:rsidR="00B22BEB" w:rsidRPr="00BA5A1C">
        <w:rPr>
          <w:rFonts w:eastAsia="Calibri" w:cs="Calibri"/>
          <w:b w:val="0"/>
          <w:bCs w:val="0"/>
          <w:sz w:val="20"/>
          <w:szCs w:val="20"/>
          <w:lang w:val="en-US"/>
        </w:rPr>
        <w:t xml:space="preserve"> per </w:t>
      </w:r>
      <w:r w:rsidR="00BB4098" w:rsidRPr="00BA5A1C">
        <w:rPr>
          <w:rFonts w:eastAsia="Calibri" w:cs="Calibri"/>
          <w:b w:val="0"/>
          <w:bCs w:val="0"/>
          <w:sz w:val="20"/>
          <w:szCs w:val="20"/>
          <w:lang w:val="en-US"/>
        </w:rPr>
        <w:t>euro</w:t>
      </w:r>
      <w:r w:rsidR="00B22BEB" w:rsidRPr="00BA5A1C">
        <w:rPr>
          <w:rFonts w:eastAsia="Calibri" w:cs="Calibri"/>
          <w:b w:val="0"/>
          <w:bCs w:val="0"/>
          <w:sz w:val="20"/>
          <w:szCs w:val="20"/>
          <w:lang w:val="en-US"/>
        </w:rPr>
        <w:t xml:space="preserve"> of sales of more than </w:t>
      </w:r>
      <w:r w:rsidR="00E3141F" w:rsidRPr="00BA5A1C">
        <w:rPr>
          <w:rFonts w:eastAsia="Calibri" w:cs="Calibri"/>
          <w:b w:val="0"/>
          <w:bCs w:val="0"/>
          <w:sz w:val="20"/>
          <w:szCs w:val="20"/>
          <w:lang w:val="en-US"/>
        </w:rPr>
        <w:t>25</w:t>
      </w:r>
      <w:r w:rsidR="00AB1F0F" w:rsidRPr="00BA5A1C">
        <w:rPr>
          <w:rFonts w:eastAsia="Calibri" w:cs="Calibri"/>
          <w:b w:val="0"/>
          <w:bCs w:val="0"/>
          <w:sz w:val="20"/>
          <w:szCs w:val="20"/>
          <w:lang w:val="en-US"/>
        </w:rPr>
        <w:t>%</w:t>
      </w:r>
      <w:r w:rsidR="00BB4098" w:rsidRPr="00BA5A1C">
        <w:rPr>
          <w:rFonts w:eastAsia="Calibri" w:cs="Calibri"/>
          <w:b w:val="0"/>
          <w:bCs w:val="0"/>
          <w:sz w:val="20"/>
          <w:szCs w:val="20"/>
          <w:lang w:val="en-US"/>
        </w:rPr>
        <w:t>.</w:t>
      </w:r>
      <w:r w:rsidRPr="00BA5A1C">
        <w:rPr>
          <w:rFonts w:eastAsia="Calibri" w:cs="Calibri"/>
          <w:b w:val="0"/>
          <w:bCs w:val="0"/>
          <w:sz w:val="20"/>
          <w:szCs w:val="20"/>
          <w:lang w:val="en-US"/>
        </w:rPr>
        <w:t xml:space="preserve"> This</w:t>
      </w:r>
      <w:r w:rsidRPr="006E6044">
        <w:rPr>
          <w:rFonts w:eastAsia="Calibri" w:cs="Calibri"/>
          <w:b w:val="0"/>
          <w:bCs w:val="0"/>
          <w:sz w:val="20"/>
          <w:szCs w:val="20"/>
          <w:lang w:val="en-US"/>
        </w:rPr>
        <w:t xml:space="preserve"> achievement, which marks the largest annual reduction rate achieved by the Group in the last decade,</w:t>
      </w:r>
      <w:bookmarkEnd w:id="2"/>
      <w:r w:rsidRPr="006E6044">
        <w:rPr>
          <w:rFonts w:eastAsia="Calibri" w:cs="Calibri"/>
          <w:b w:val="0"/>
          <w:bCs w:val="0"/>
          <w:sz w:val="20"/>
          <w:szCs w:val="20"/>
          <w:lang w:val="en-US"/>
        </w:rPr>
        <w:t xml:space="preserve"> </w:t>
      </w:r>
      <w:bookmarkStart w:id="3" w:name="_Hlk128736342"/>
      <w:r w:rsidRPr="006E6044">
        <w:rPr>
          <w:rFonts w:eastAsia="Calibri" w:cs="Calibri"/>
          <w:b w:val="0"/>
          <w:bCs w:val="0"/>
          <w:sz w:val="20"/>
          <w:szCs w:val="20"/>
          <w:lang w:val="en-US"/>
        </w:rPr>
        <w:t xml:space="preserve">was driven by record-high utilization of alternative fuels and a historically low clinker content in our cement products. </w:t>
      </w:r>
      <w:bookmarkEnd w:id="3"/>
      <w:r w:rsidRPr="006E6044">
        <w:rPr>
          <w:rFonts w:eastAsia="Calibri" w:cs="Calibri"/>
          <w:b w:val="0"/>
          <w:bCs w:val="0"/>
          <w:sz w:val="20"/>
          <w:szCs w:val="20"/>
          <w:lang w:val="en-US"/>
        </w:rPr>
        <w:t xml:space="preserve">The Group reduced the carbon footprint of its products by enhancing its offering of lower-carbon cements. Green products </w:t>
      </w:r>
      <w:r w:rsidR="00AB1F0F" w:rsidRPr="006E6044">
        <w:rPr>
          <w:rFonts w:eastAsia="Calibri" w:cs="Calibri"/>
          <w:b w:val="0"/>
          <w:bCs w:val="0"/>
          <w:sz w:val="20"/>
          <w:szCs w:val="20"/>
          <w:lang w:val="en-US"/>
        </w:rPr>
        <w:t xml:space="preserve">and solutions offered to customers </w:t>
      </w:r>
      <w:r w:rsidRPr="006E6044">
        <w:rPr>
          <w:rFonts w:eastAsia="Calibri" w:cs="Calibri"/>
          <w:b w:val="0"/>
          <w:bCs w:val="0"/>
          <w:sz w:val="20"/>
          <w:szCs w:val="20"/>
          <w:lang w:val="en-US"/>
        </w:rPr>
        <w:t>represent 19.5% of our total cement production, with this share projected to increase to over 60% by 2030. In 2022, Titan America became the first US-based cement company to fully transition to the production of the lower-carbon Type IL Portland-limestone cement. TITAN Group has a very low exposure to CO</w:t>
      </w:r>
      <w:r w:rsidRPr="006E6044">
        <w:rPr>
          <w:rFonts w:eastAsia="Calibri" w:cs="Calibri"/>
          <w:b w:val="0"/>
          <w:bCs w:val="0"/>
          <w:sz w:val="20"/>
          <w:szCs w:val="20"/>
          <w:vertAlign w:val="subscript"/>
          <w:lang w:val="en-US"/>
        </w:rPr>
        <w:t>2</w:t>
      </w:r>
      <w:r w:rsidRPr="006E6044">
        <w:rPr>
          <w:rFonts w:eastAsia="Calibri" w:cs="Calibri"/>
          <w:b w:val="0"/>
          <w:bCs w:val="0"/>
          <w:sz w:val="20"/>
          <w:szCs w:val="20"/>
          <w:lang w:val="en-US"/>
        </w:rPr>
        <w:t xml:space="preserve"> cost, with only </w:t>
      </w:r>
      <w:r w:rsidR="00702336" w:rsidRPr="006E6044">
        <w:rPr>
          <w:rFonts w:eastAsia="Calibri" w:cs="Calibri"/>
          <w:b w:val="0"/>
          <w:bCs w:val="0"/>
          <w:sz w:val="20"/>
          <w:szCs w:val="20"/>
          <w:lang w:val="en-US"/>
        </w:rPr>
        <w:t>24</w:t>
      </w:r>
      <w:r w:rsidRPr="006E6044">
        <w:rPr>
          <w:rFonts w:eastAsia="Calibri" w:cs="Calibri"/>
          <w:b w:val="0"/>
          <w:bCs w:val="0"/>
          <w:sz w:val="20"/>
          <w:szCs w:val="20"/>
          <w:lang w:val="en-US"/>
        </w:rPr>
        <w:t>% of the Group sales subject to the EU’s Emissions Trading Systems (EU ETS). Moreover, the Group remains long on carbon credits</w:t>
      </w:r>
      <w:r w:rsidR="00BB2333" w:rsidRPr="006E6044">
        <w:rPr>
          <w:rFonts w:eastAsia="Calibri" w:cs="Calibri"/>
          <w:b w:val="0"/>
          <w:bCs w:val="0"/>
          <w:sz w:val="20"/>
          <w:szCs w:val="20"/>
          <w:lang w:val="en-US"/>
        </w:rPr>
        <w:t>.</w:t>
      </w:r>
    </w:p>
    <w:p w14:paraId="0E354F60" w14:textId="77777777" w:rsidR="005A1BA5" w:rsidRPr="005A1BA5" w:rsidRDefault="005A1BA5" w:rsidP="006E6044">
      <w:pPr>
        <w:pStyle w:val="C"/>
        <w:spacing w:after="0" w:line="240" w:lineRule="auto"/>
        <w:jc w:val="both"/>
        <w:rPr>
          <w:rFonts w:eastAsia="Calibri" w:cs="Calibri"/>
          <w:b w:val="0"/>
          <w:bCs w:val="0"/>
          <w:sz w:val="4"/>
          <w:szCs w:val="4"/>
          <w:lang w:val="en-US"/>
        </w:rPr>
      </w:pPr>
    </w:p>
    <w:p w14:paraId="4ACF29D7" w14:textId="77777777" w:rsidR="00EF3BD3" w:rsidRPr="00E011F2" w:rsidRDefault="00EF3BD3" w:rsidP="006E6044">
      <w:pPr>
        <w:pStyle w:val="C"/>
        <w:spacing w:after="0" w:line="240" w:lineRule="auto"/>
        <w:rPr>
          <w:rFonts w:eastAsia="Calibri" w:cs="Calibri"/>
          <w:b w:val="0"/>
          <w:bCs w:val="0"/>
          <w:sz w:val="20"/>
          <w:szCs w:val="20"/>
          <w:lang w:val="en-US"/>
        </w:rPr>
      </w:pPr>
      <w:r w:rsidRPr="00E011F2">
        <w:rPr>
          <w:rFonts w:cs="Calibri"/>
          <w:sz w:val="24"/>
          <w:szCs w:val="22"/>
        </w:rPr>
        <w:t>Growth-enabling work environment</w:t>
      </w:r>
    </w:p>
    <w:p w14:paraId="470ADAF1" w14:textId="0B13CCC1" w:rsidR="000D4D9B" w:rsidRDefault="000D4D9B" w:rsidP="006E6044">
      <w:pPr>
        <w:pStyle w:val="C"/>
        <w:spacing w:after="0" w:line="240" w:lineRule="auto"/>
        <w:jc w:val="both"/>
        <w:rPr>
          <w:b w:val="0"/>
          <w:bCs w:val="0"/>
          <w:sz w:val="20"/>
          <w:szCs w:val="20"/>
        </w:rPr>
      </w:pPr>
      <w:r w:rsidRPr="006E6044">
        <w:rPr>
          <w:b w:val="0"/>
          <w:bCs w:val="0"/>
          <w:sz w:val="20"/>
          <w:szCs w:val="20"/>
        </w:rPr>
        <w:t>The Lost Time Injuries Frequency Rate (LTIFR) decreased to 0.63 and 1.43 LTIs per million worked hours among own personnel and contractors respectively, continuing a downward trend observed since 2017</w:t>
      </w:r>
      <w:r w:rsidR="00BB2333" w:rsidRPr="006E6044">
        <w:rPr>
          <w:b w:val="0"/>
          <w:bCs w:val="0"/>
          <w:sz w:val="20"/>
          <w:szCs w:val="20"/>
        </w:rPr>
        <w:t xml:space="preserve">, while focus on contractors </w:t>
      </w:r>
      <w:r w:rsidR="00844066" w:rsidRPr="006E6044">
        <w:rPr>
          <w:b w:val="0"/>
          <w:bCs w:val="0"/>
          <w:sz w:val="20"/>
          <w:szCs w:val="20"/>
        </w:rPr>
        <w:t>will be strengthened in the near future</w:t>
      </w:r>
      <w:r w:rsidR="00BB4098" w:rsidRPr="006E6044">
        <w:rPr>
          <w:b w:val="0"/>
          <w:bCs w:val="0"/>
          <w:sz w:val="20"/>
          <w:szCs w:val="20"/>
        </w:rPr>
        <w:t>.</w:t>
      </w:r>
      <w:r w:rsidR="004B3F62" w:rsidRPr="006E6044">
        <w:rPr>
          <w:b w:val="0"/>
          <w:bCs w:val="0"/>
          <w:sz w:val="20"/>
          <w:szCs w:val="20"/>
        </w:rPr>
        <w:t xml:space="preserve"> </w:t>
      </w:r>
      <w:r w:rsidRPr="006E6044">
        <w:rPr>
          <w:b w:val="0"/>
          <w:bCs w:val="0"/>
          <w:sz w:val="20"/>
          <w:szCs w:val="20"/>
        </w:rPr>
        <w:t xml:space="preserve">In 2022, we continued to focus on protecting the health and </w:t>
      </w:r>
      <w:r w:rsidR="008766B8" w:rsidRPr="006E6044">
        <w:rPr>
          <w:b w:val="0"/>
          <w:bCs w:val="0"/>
          <w:sz w:val="20"/>
          <w:szCs w:val="20"/>
        </w:rPr>
        <w:t>well-being</w:t>
      </w:r>
      <w:r w:rsidRPr="006E6044">
        <w:rPr>
          <w:b w:val="0"/>
          <w:bCs w:val="0"/>
          <w:sz w:val="20"/>
          <w:szCs w:val="20"/>
        </w:rPr>
        <w:t xml:space="preserve"> of our people and communities, with 366 </w:t>
      </w:r>
      <w:r w:rsidR="008766B8" w:rsidRPr="006E6044">
        <w:rPr>
          <w:b w:val="0"/>
          <w:bCs w:val="0"/>
          <w:sz w:val="20"/>
          <w:szCs w:val="20"/>
        </w:rPr>
        <w:t>well-being</w:t>
      </w:r>
      <w:r w:rsidRPr="006E6044">
        <w:rPr>
          <w:b w:val="0"/>
          <w:bCs w:val="0"/>
          <w:sz w:val="20"/>
          <w:szCs w:val="20"/>
        </w:rPr>
        <w:t xml:space="preserve"> initiatives in place across the Group. To cultivate an inclusive work culture that embraces and celebrates diversity, we established the Group Diversity, Equity and Inclusion Council (D</w:t>
      </w:r>
      <w:r w:rsidRPr="006E6044">
        <w:rPr>
          <w:b w:val="0"/>
          <w:bCs w:val="0"/>
          <w:sz w:val="20"/>
          <w:szCs w:val="20"/>
          <w:lang w:val="el-GR"/>
        </w:rPr>
        <w:t>Ε</w:t>
      </w:r>
      <w:r w:rsidRPr="006E6044">
        <w:rPr>
          <w:b w:val="0"/>
          <w:bCs w:val="0"/>
          <w:sz w:val="20"/>
          <w:szCs w:val="20"/>
        </w:rPr>
        <w:t>&amp;I), which seeks to actively sponsor DE&amp;I at Board and Management level and across the Group. Also, our 2025 ESG target to achieve at least one-third representation of women on the Board of Directors has already been met. The share of women in management increased to 19.4% in 2022 from 16.5% in the base year of 2020.</w:t>
      </w:r>
    </w:p>
    <w:p w14:paraId="6F771B70" w14:textId="77777777" w:rsidR="005A1BA5" w:rsidRPr="005A1BA5" w:rsidRDefault="005A1BA5" w:rsidP="006E6044">
      <w:pPr>
        <w:pStyle w:val="C"/>
        <w:spacing w:after="0" w:line="240" w:lineRule="auto"/>
        <w:jc w:val="both"/>
        <w:rPr>
          <w:b w:val="0"/>
          <w:bCs w:val="0"/>
          <w:sz w:val="4"/>
          <w:szCs w:val="4"/>
        </w:rPr>
      </w:pPr>
    </w:p>
    <w:p w14:paraId="3AAFD659" w14:textId="280221C4" w:rsidR="00EF3BD3" w:rsidRPr="00E011F2" w:rsidRDefault="00EF3BD3" w:rsidP="006E6044">
      <w:pPr>
        <w:pStyle w:val="C"/>
        <w:spacing w:after="0" w:line="240" w:lineRule="auto"/>
        <w:jc w:val="both"/>
        <w:rPr>
          <w:rFonts w:cs="Calibri"/>
          <w:sz w:val="24"/>
          <w:szCs w:val="22"/>
        </w:rPr>
      </w:pPr>
      <w:r w:rsidRPr="00E011F2">
        <w:rPr>
          <w:rFonts w:cs="Calibri"/>
          <w:sz w:val="24"/>
          <w:szCs w:val="22"/>
        </w:rPr>
        <w:t>Positive local impact</w:t>
      </w:r>
    </w:p>
    <w:p w14:paraId="56B5F28E" w14:textId="07AE283C" w:rsidR="000D4D9B" w:rsidRDefault="000D4D9B" w:rsidP="006E6044">
      <w:pPr>
        <w:pStyle w:val="C"/>
        <w:spacing w:after="0" w:line="240" w:lineRule="auto"/>
        <w:jc w:val="both"/>
        <w:rPr>
          <w:b w:val="0"/>
          <w:bCs w:val="0"/>
          <w:sz w:val="20"/>
          <w:szCs w:val="20"/>
        </w:rPr>
      </w:pPr>
      <w:bookmarkStart w:id="4" w:name="_Hlk128736834"/>
      <w:r w:rsidRPr="006E6044">
        <w:rPr>
          <w:b w:val="0"/>
          <w:bCs w:val="0"/>
          <w:sz w:val="20"/>
          <w:szCs w:val="20"/>
        </w:rPr>
        <w:t>In 2022, we maintained our strong performance in air emissions. Additionally, 83% of our active quarries located in high biodiversity value areas have biodiversity management plans in place.</w:t>
      </w:r>
      <w:bookmarkEnd w:id="4"/>
      <w:r w:rsidRPr="006E6044">
        <w:rPr>
          <w:b w:val="0"/>
          <w:bCs w:val="0"/>
          <w:sz w:val="20"/>
          <w:szCs w:val="20"/>
        </w:rPr>
        <w:t xml:space="preserve"> Aiming to maximize our positive local impact, we implemented 212 community initiatives across all countries, with the engagement of at least 6,000 participants, a third of whom were TITAN employees. As per our commitment to ensure that 2/3 of our total spend is directed to local suppliers and communities, we exceeded our overall local spend target, reaching an average of 67.6% at Group level.</w:t>
      </w:r>
    </w:p>
    <w:p w14:paraId="79CD7004" w14:textId="77777777" w:rsidR="005A1BA5" w:rsidRPr="005A1BA5" w:rsidRDefault="005A1BA5" w:rsidP="006E6044">
      <w:pPr>
        <w:pStyle w:val="C"/>
        <w:spacing w:after="0" w:line="240" w:lineRule="auto"/>
        <w:jc w:val="both"/>
        <w:rPr>
          <w:b w:val="0"/>
          <w:bCs w:val="0"/>
          <w:sz w:val="4"/>
          <w:szCs w:val="4"/>
        </w:rPr>
      </w:pPr>
    </w:p>
    <w:p w14:paraId="7D2113E6" w14:textId="4B4C282E" w:rsidR="00EF3BD3" w:rsidRPr="00E011F2" w:rsidRDefault="00EF3BD3" w:rsidP="006E6044">
      <w:pPr>
        <w:pStyle w:val="C"/>
        <w:spacing w:after="0" w:line="240" w:lineRule="auto"/>
        <w:jc w:val="both"/>
        <w:rPr>
          <w:rFonts w:eastAsia="Calibri" w:cs="Calibri"/>
          <w:b w:val="0"/>
          <w:bCs w:val="0"/>
          <w:sz w:val="20"/>
          <w:szCs w:val="20"/>
          <w:lang w:val="en-US"/>
        </w:rPr>
      </w:pPr>
      <w:r w:rsidRPr="00E011F2">
        <w:rPr>
          <w:rFonts w:cs="Calibri"/>
          <w:sz w:val="24"/>
          <w:szCs w:val="22"/>
        </w:rPr>
        <w:t>Responsible sourcing</w:t>
      </w:r>
    </w:p>
    <w:p w14:paraId="70D4F5FC" w14:textId="77777777" w:rsidR="000D4D9B" w:rsidRDefault="000D4D9B" w:rsidP="006E6044">
      <w:pPr>
        <w:pStyle w:val="C"/>
        <w:spacing w:after="0" w:line="240" w:lineRule="auto"/>
        <w:jc w:val="both"/>
        <w:rPr>
          <w:b w:val="0"/>
          <w:bCs w:val="0"/>
          <w:sz w:val="20"/>
          <w:szCs w:val="20"/>
        </w:rPr>
      </w:pPr>
      <w:r w:rsidRPr="006E6044">
        <w:rPr>
          <w:b w:val="0"/>
          <w:bCs w:val="0"/>
          <w:sz w:val="20"/>
          <w:szCs w:val="20"/>
        </w:rPr>
        <w:t xml:space="preserve">Recognizing that energy efficiency is a key prerequisite to addressing climate change but also to preserving resources, 86% of the Group’s total clinker production is now covered by ISO 50001 or energy audits, exceeding the 85% target set for 2025. In the context of the global transition towards a circular economy, the Group has worked steadily to reduce landfill waste. As a result, 55% of the Group’s total clinker production is now covered by “Zero Waste to Landfill” certification, exceeding the target of 50% set for 2025. Seeking to empower business ecosystems to incorporate sustainability considerations in their decision making, TITAN updated its Group Code of Conduct for Procurement and put in place ESG criteria to be used for the evaluation of its “key suppliers”. </w:t>
      </w:r>
    </w:p>
    <w:p w14:paraId="51DDA2F2" w14:textId="77777777" w:rsidR="005A1BA5" w:rsidRPr="005A1BA5" w:rsidRDefault="005A1BA5" w:rsidP="006E6044">
      <w:pPr>
        <w:pStyle w:val="C"/>
        <w:spacing w:after="0" w:line="240" w:lineRule="auto"/>
        <w:jc w:val="both"/>
        <w:rPr>
          <w:b w:val="0"/>
          <w:bCs w:val="0"/>
          <w:sz w:val="4"/>
          <w:szCs w:val="4"/>
        </w:rPr>
      </w:pPr>
    </w:p>
    <w:p w14:paraId="7ACE8DF8" w14:textId="6853D60B" w:rsidR="00EF3BD3" w:rsidRPr="00E011F2" w:rsidRDefault="00EF3BD3" w:rsidP="005A1BA5">
      <w:pPr>
        <w:pStyle w:val="C"/>
        <w:spacing w:after="0" w:line="240" w:lineRule="auto"/>
        <w:jc w:val="both"/>
        <w:rPr>
          <w:rFonts w:eastAsia="Calibri" w:cs="Calibri"/>
          <w:b w:val="0"/>
          <w:bCs w:val="0"/>
          <w:sz w:val="20"/>
          <w:szCs w:val="20"/>
          <w:lang w:val="en-US"/>
        </w:rPr>
      </w:pPr>
      <w:r w:rsidRPr="00E011F2">
        <w:rPr>
          <w:rFonts w:cs="Calibri"/>
          <w:sz w:val="24"/>
          <w:szCs w:val="22"/>
        </w:rPr>
        <w:t xml:space="preserve">Good governance, </w:t>
      </w:r>
      <w:r w:rsidR="0037385D" w:rsidRPr="00E011F2">
        <w:rPr>
          <w:rFonts w:cs="Calibri"/>
          <w:sz w:val="24"/>
          <w:szCs w:val="22"/>
        </w:rPr>
        <w:t>transparency,</w:t>
      </w:r>
      <w:r w:rsidRPr="00E011F2">
        <w:rPr>
          <w:rFonts w:cs="Calibri"/>
          <w:sz w:val="24"/>
          <w:szCs w:val="22"/>
        </w:rPr>
        <w:t xml:space="preserve"> and business ethics</w:t>
      </w:r>
    </w:p>
    <w:p w14:paraId="3BA8683F" w14:textId="77777777" w:rsidR="000D4D9B" w:rsidRDefault="000D4D9B" w:rsidP="005A1BA5">
      <w:pPr>
        <w:pStyle w:val="C"/>
        <w:spacing w:after="0" w:line="240" w:lineRule="auto"/>
        <w:jc w:val="both"/>
        <w:rPr>
          <w:b w:val="0"/>
          <w:bCs w:val="0"/>
          <w:sz w:val="20"/>
          <w:szCs w:val="20"/>
        </w:rPr>
      </w:pPr>
      <w:r w:rsidRPr="006E6044">
        <w:rPr>
          <w:b w:val="0"/>
          <w:bCs w:val="0"/>
          <w:sz w:val="20"/>
          <w:szCs w:val="20"/>
        </w:rPr>
        <w:t>During 2022, we placed special attention on ensuring compliance with global sanctions. To this end, we implemented the Third-Party Due Diligence System, which consists of a set of control activities supported by a fully automated, world-class data-driven engine. We also launched training sessions on Global Sanctions, the Third-Party Due Diligence System, and Anti-Fraud Awareness. TITAN’s approach to sustainability remains focused on the dynamic materiality process. In preparation for our next materiality assessment cycle, we validated our material issues with key stakeholders at all business units through open and structured communication.</w:t>
      </w:r>
    </w:p>
    <w:p w14:paraId="6A5CA452" w14:textId="77777777" w:rsidR="004A50B4" w:rsidRPr="006E6044" w:rsidRDefault="004A50B4" w:rsidP="005A1BA5">
      <w:pPr>
        <w:pStyle w:val="C"/>
        <w:spacing w:after="0" w:line="240" w:lineRule="auto"/>
        <w:jc w:val="both"/>
        <w:rPr>
          <w:b w:val="0"/>
          <w:bCs w:val="0"/>
          <w:sz w:val="20"/>
          <w:szCs w:val="20"/>
        </w:rPr>
      </w:pPr>
    </w:p>
    <w:p w14:paraId="118F728E" w14:textId="1FFE7EA9" w:rsidR="004A7016" w:rsidRPr="0087712A" w:rsidRDefault="004A7016" w:rsidP="004A7016">
      <w:pPr>
        <w:pStyle w:val="C"/>
        <w:spacing w:line="240" w:lineRule="auto"/>
        <w:jc w:val="both"/>
        <w:rPr>
          <w:rFonts w:eastAsia="Calibri" w:cs="Calibri"/>
          <w:noProof/>
          <w:lang w:val="en-US" w:eastAsia="el-GR"/>
        </w:rPr>
      </w:pPr>
      <w:r w:rsidRPr="0087712A">
        <w:rPr>
          <w:rFonts w:eastAsia="Calibri" w:cs="Calibri"/>
          <w:noProof/>
          <w:lang w:val="en-US"/>
        </w:rPr>
        <w:lastRenderedPageBreak/>
        <mc:AlternateContent>
          <mc:Choice Requires="wps">
            <w:drawing>
              <wp:anchor distT="0" distB="0" distL="114300" distR="114300" simplePos="0" relativeHeight="251658240" behindDoc="0" locked="0" layoutInCell="1" allowOverlap="1" wp14:anchorId="47CB951E" wp14:editId="68247FBB">
                <wp:simplePos x="0" y="0"/>
                <wp:positionH relativeFrom="column">
                  <wp:posOffset>-5476</wp:posOffset>
                </wp:positionH>
                <wp:positionV relativeFrom="paragraph">
                  <wp:posOffset>234432</wp:posOffset>
                </wp:positionV>
                <wp:extent cx="6120333" cy="1921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6120333" cy="1921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22C4"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45pt" to="481.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" strokecolor="#00183d" strokeweight=".25pt"/>
            </w:pict>
          </mc:Fallback>
        </mc:AlternateContent>
      </w:r>
      <w:r w:rsidRPr="0087712A">
        <w:rPr>
          <w:rFonts w:eastAsia="Calibri" w:cs="Calibri"/>
          <w:noProof/>
          <w:lang w:val="en-US" w:eastAsia="el-GR"/>
        </w:rPr>
        <w:t xml:space="preserve">Outlook </w:t>
      </w:r>
    </w:p>
    <w:p w14:paraId="2C9A3E21" w14:textId="72B2A493" w:rsidR="006D082B" w:rsidRPr="00551AE8" w:rsidRDefault="00FC1CEF" w:rsidP="00CA64F0">
      <w:pPr>
        <w:pStyle w:val="BodyText"/>
        <w:spacing w:before="80"/>
        <w:jc w:val="both"/>
        <w:rPr>
          <w:rFonts w:ascii="Calibri" w:eastAsia="Calibri" w:hAnsi="Calibri" w:cs="Calibri"/>
          <w:color w:val="00183D"/>
          <w:lang w:val="en-US"/>
        </w:rPr>
      </w:pPr>
      <w:r w:rsidRPr="00551AE8">
        <w:rPr>
          <w:rFonts w:ascii="Calibri" w:eastAsia="Calibri" w:hAnsi="Calibri" w:cs="Calibri"/>
          <w:color w:val="00183D"/>
          <w:lang w:val="en-US"/>
        </w:rPr>
        <w:t>Global conditions remain challenging and while risks of a deep recession appear to have been avoided for the time being, any growth outlook remains unclear and is highly dependent on variables such as energy costs, the evolution of inflation</w:t>
      </w:r>
      <w:r w:rsidR="00420BCA">
        <w:rPr>
          <w:rFonts w:ascii="Calibri" w:eastAsia="Calibri" w:hAnsi="Calibri" w:cs="Calibri"/>
          <w:color w:val="00183D"/>
          <w:lang w:val="en-US"/>
        </w:rPr>
        <w:t>,</w:t>
      </w:r>
      <w:r w:rsidRPr="00551AE8">
        <w:rPr>
          <w:rFonts w:ascii="Calibri" w:eastAsia="Calibri" w:hAnsi="Calibri" w:cs="Calibri"/>
          <w:color w:val="00183D"/>
          <w:lang w:val="en-US"/>
        </w:rPr>
        <w:t xml:space="preserve"> and the monetary authorities trying to balance fighting inflation and the risks of a recessionary economy. At the same time, unprecedented levels of government support and initiatives, on both sides of the Atlantic, generate investment and demand for our products, giving cause for cautious optimism.</w:t>
      </w:r>
    </w:p>
    <w:p w14:paraId="2E61E8BB" w14:textId="2A86E115" w:rsidR="00C54EC2" w:rsidRPr="0051186A" w:rsidRDefault="00FC1CEF" w:rsidP="00CA64F0">
      <w:pPr>
        <w:pStyle w:val="BodyText"/>
        <w:spacing w:before="80"/>
        <w:jc w:val="both"/>
        <w:rPr>
          <w:rFonts w:ascii="Calibri" w:hAnsi="Calibri" w:cs="Calibri"/>
          <w:color w:val="00183D"/>
          <w:lang w:val="en-US"/>
        </w:rPr>
      </w:pPr>
      <w:r w:rsidRPr="00551AE8">
        <w:rPr>
          <w:rFonts w:ascii="Calibri" w:eastAsia="Calibri" w:hAnsi="Calibri" w:cs="Calibri"/>
          <w:color w:val="00183D"/>
          <w:lang w:val="en-US"/>
        </w:rPr>
        <w:t>The US economy remains in a strong state, and while inflationary pressures and attendant monetary tightening raise concerns of a slowdown</w:t>
      </w:r>
      <w:r w:rsidR="00240C33">
        <w:rPr>
          <w:rFonts w:ascii="Calibri" w:eastAsia="Calibri" w:hAnsi="Calibri" w:cs="Calibri"/>
          <w:color w:val="00183D"/>
          <w:lang w:val="en-US"/>
        </w:rPr>
        <w:t xml:space="preserve">. </w:t>
      </w:r>
      <w:r w:rsidRPr="00551AE8">
        <w:rPr>
          <w:rFonts w:ascii="Calibri" w:eastAsia="Calibri" w:hAnsi="Calibri" w:cs="Calibri"/>
          <w:color w:val="00183D"/>
          <w:lang w:val="en-US"/>
        </w:rPr>
        <w:t>Housing starts remain below their historic levels while the deficit in housing persists. Light non-residential and industrial activity is expected to remain solid, supporting in turn the investment boom witnessed in the Group’s key markets. Positive momentum from the IIJA, the IRA</w:t>
      </w:r>
      <w:r w:rsidR="006D082B">
        <w:rPr>
          <w:rFonts w:ascii="Calibri" w:eastAsia="Calibri" w:hAnsi="Calibri" w:cs="Calibri"/>
          <w:color w:val="00183D"/>
          <w:lang w:val="en-US"/>
        </w:rPr>
        <w:t>,</w:t>
      </w:r>
      <w:r w:rsidRPr="00551AE8">
        <w:rPr>
          <w:rFonts w:ascii="Calibri" w:eastAsia="Calibri" w:hAnsi="Calibri" w:cs="Calibri"/>
          <w:color w:val="00183D"/>
          <w:lang w:val="en-US"/>
        </w:rPr>
        <w:t xml:space="preserve"> and the CHIPS Act is starting to flow, with material impact expected in the second half of the year, providing a healthy </w:t>
      </w:r>
      <w:r w:rsidR="006D082B">
        <w:rPr>
          <w:rFonts w:ascii="Calibri" w:eastAsia="Calibri" w:hAnsi="Calibri" w:cs="Calibri"/>
          <w:color w:val="00183D"/>
          <w:lang w:val="en-US"/>
        </w:rPr>
        <w:t>run rate</w:t>
      </w:r>
      <w:r w:rsidRPr="00551AE8">
        <w:rPr>
          <w:rFonts w:ascii="Calibri" w:eastAsia="Calibri" w:hAnsi="Calibri" w:cs="Calibri"/>
          <w:color w:val="00183D"/>
          <w:lang w:val="en-US"/>
        </w:rPr>
        <w:t xml:space="preserve"> for the years ahead. Proposed DoT budgets for the next couple of years look robust, and high levels of spending are also set to provide </w:t>
      </w:r>
      <w:r w:rsidR="006D082B">
        <w:rPr>
          <w:rFonts w:ascii="Calibri" w:eastAsia="Calibri" w:hAnsi="Calibri" w:cs="Calibri"/>
          <w:color w:val="00183D"/>
          <w:lang w:val="en-US"/>
        </w:rPr>
        <w:t>long-term</w:t>
      </w:r>
      <w:r w:rsidRPr="00551AE8">
        <w:rPr>
          <w:rFonts w:ascii="Calibri" w:eastAsia="Calibri" w:hAnsi="Calibri" w:cs="Calibri"/>
          <w:color w:val="00183D"/>
          <w:lang w:val="en-US"/>
        </w:rPr>
        <w:t xml:space="preserve"> tailwinds for activity on the ground.</w:t>
      </w:r>
      <w:r w:rsidR="00E062AD">
        <w:rPr>
          <w:rFonts w:ascii="Calibri" w:eastAsia="Calibri" w:hAnsi="Calibri" w:cs="Calibri"/>
          <w:color w:val="00183D"/>
          <w:lang w:val="en-US"/>
        </w:rPr>
        <w:t xml:space="preserve"> </w:t>
      </w:r>
      <w:r w:rsidR="00551AE8" w:rsidRPr="00E062AD">
        <w:rPr>
          <w:rFonts w:ascii="Calibri" w:eastAsia="Calibri" w:hAnsi="Calibri" w:cs="Calibri"/>
          <w:color w:val="00183D"/>
          <w:lang w:val="en-US"/>
        </w:rPr>
        <w:t xml:space="preserve">Despite a softening of the single-family residential market, the multi-family and </w:t>
      </w:r>
      <w:r w:rsidR="00C54EC2">
        <w:rPr>
          <w:rFonts w:ascii="Calibri" w:eastAsia="Calibri" w:hAnsi="Calibri" w:cs="Calibri"/>
          <w:color w:val="00183D"/>
          <w:lang w:val="en-US"/>
        </w:rPr>
        <w:t xml:space="preserve">the </w:t>
      </w:r>
      <w:r w:rsidR="00551AE8" w:rsidRPr="00E062AD">
        <w:rPr>
          <w:rFonts w:ascii="Calibri" w:eastAsia="Calibri" w:hAnsi="Calibri" w:cs="Calibri"/>
          <w:color w:val="00183D"/>
          <w:lang w:val="en-US"/>
        </w:rPr>
        <w:t xml:space="preserve">commercial segments remain very strong with numerous investments in data </w:t>
      </w:r>
      <w:r w:rsidR="006D082B">
        <w:rPr>
          <w:rFonts w:ascii="Calibri" w:eastAsia="Calibri" w:hAnsi="Calibri" w:cs="Calibri"/>
          <w:color w:val="00183D"/>
          <w:lang w:val="en-US"/>
        </w:rPr>
        <w:t>centers</w:t>
      </w:r>
      <w:r w:rsidR="00551AE8" w:rsidRPr="00E062AD">
        <w:rPr>
          <w:rFonts w:ascii="Calibri" w:eastAsia="Calibri" w:hAnsi="Calibri" w:cs="Calibri"/>
          <w:color w:val="00183D"/>
          <w:lang w:val="en-US"/>
        </w:rPr>
        <w:t>, high-tech investment development as well as retail warehousi</w:t>
      </w:r>
      <w:r w:rsidR="00551AE8" w:rsidRPr="006D0E5C">
        <w:rPr>
          <w:rFonts w:ascii="Calibri" w:eastAsia="Calibri" w:hAnsi="Calibri" w:cs="Calibri"/>
          <w:color w:val="00183D"/>
          <w:lang w:val="en-US"/>
        </w:rPr>
        <w:t>ng. Home improvement is also very strong, accounting for the growth in both retail cement and the Group’s building products segment. Strong state finances are slowly translating into increased public infrastructure works, needed to support the attendant investment development across our geographic footprint.</w:t>
      </w:r>
      <w:r w:rsidR="00D1675D" w:rsidRPr="00D1675D">
        <w:rPr>
          <w:rFonts w:ascii="Calibri" w:eastAsia="Calibri" w:hAnsi="Calibri" w:cs="Calibri"/>
          <w:color w:val="00183D"/>
          <w:lang w:val="en-US"/>
        </w:rPr>
        <w:t xml:space="preserve"> </w:t>
      </w:r>
    </w:p>
    <w:p w14:paraId="2887FB34" w14:textId="55C322E9" w:rsidR="00925D8B" w:rsidRPr="00551AE8" w:rsidRDefault="000742FE" w:rsidP="00AA7FF3">
      <w:pPr>
        <w:pStyle w:val="BodyText"/>
        <w:jc w:val="both"/>
        <w:rPr>
          <w:rFonts w:ascii="Calibri" w:hAnsi="Calibri" w:cs="Calibri"/>
          <w:color w:val="00183D"/>
          <w:lang w:val="en-US"/>
        </w:rPr>
      </w:pPr>
      <w:r w:rsidRPr="00551AE8">
        <w:rPr>
          <w:rFonts w:ascii="Calibri" w:hAnsi="Calibri" w:cs="Calibri"/>
          <w:color w:val="00183D"/>
          <w:lang w:val="en-US"/>
        </w:rPr>
        <w:t>In Greece, the local market has enjoyed a solid start to the year and the country appears not to have been debased by the global macroeconomic turbulence, buffered by the robustness of its tourism industry which is set for another record year as well as the influx of various tranches of EU funding promoting digitalization, energy efficiency and upgrade of related infrastructure. Growth is spread throughout the country either via residential development, small-scale industrial as well as municipal development</w:t>
      </w:r>
      <w:r w:rsidR="00086831">
        <w:rPr>
          <w:rFonts w:ascii="Calibri" w:hAnsi="Calibri" w:cs="Calibri"/>
          <w:color w:val="00183D"/>
          <w:lang w:val="en-US"/>
        </w:rPr>
        <w:t>,</w:t>
      </w:r>
      <w:r w:rsidRPr="00551AE8">
        <w:rPr>
          <w:rFonts w:ascii="Calibri" w:hAnsi="Calibri" w:cs="Calibri"/>
          <w:color w:val="00183D"/>
          <w:lang w:val="en-US"/>
        </w:rPr>
        <w:t xml:space="preserve"> and of course tourism-related infrastructure and facilities. Mega infrastructure development and urban regeneration projects are also in the pipeline, offering good traction in the years ahead. Continuous breakthrough investments at the Group’s plants allow for considerable efficiencies and operational optimization accruing financial benefits to our results. </w:t>
      </w:r>
    </w:p>
    <w:p w14:paraId="54E6A470" w14:textId="0666A8F0" w:rsidR="00A33AC7" w:rsidRPr="00976FFB" w:rsidRDefault="00925D8B" w:rsidP="00CA64F0">
      <w:pPr>
        <w:pStyle w:val="BodyText"/>
        <w:spacing w:before="80"/>
        <w:jc w:val="both"/>
        <w:rPr>
          <w:rFonts w:ascii="Calibri" w:hAnsi="Calibri" w:cs="Calibri"/>
          <w:color w:val="00183D"/>
          <w:lang w:val="en-US"/>
        </w:rPr>
      </w:pPr>
      <w:r w:rsidRPr="00551AE8">
        <w:rPr>
          <w:rFonts w:ascii="Calibri" w:hAnsi="Calibri" w:cs="Calibri"/>
          <w:color w:val="00183D"/>
          <w:lang w:val="en-US"/>
        </w:rPr>
        <w:t>The region of Southeastern Europe, consistent with its track record, is expected to hold up to the levels recorded in 2022. While not expecting any substantial volume growth, solid margins should be maintained, especially considering the Group’s success in effectively supplying the whole regional market. Demand should be supported by road, rail and infrastructure projects which are slated to commence in the year. In what will remain a tight market, the Group has the capacity through its regional network to meet demand, satisfying any supply gaps.</w:t>
      </w:r>
    </w:p>
    <w:p w14:paraId="73A3D61A" w14:textId="25131C3D" w:rsidR="00925D8B" w:rsidRPr="00551AE8" w:rsidRDefault="00925D8B" w:rsidP="00CA64F0">
      <w:pPr>
        <w:pStyle w:val="BodyText"/>
        <w:spacing w:before="80"/>
        <w:jc w:val="both"/>
        <w:rPr>
          <w:rFonts w:ascii="Calibri" w:hAnsi="Calibri" w:cs="Calibri"/>
          <w:color w:val="00183D"/>
          <w:lang w:val="en-US"/>
        </w:rPr>
      </w:pPr>
      <w:r w:rsidRPr="00551AE8">
        <w:rPr>
          <w:rFonts w:ascii="Calibri" w:hAnsi="Calibri" w:cs="Calibri"/>
          <w:color w:val="00183D"/>
          <w:lang w:val="en-US"/>
        </w:rPr>
        <w:t xml:space="preserve">In Egypt, </w:t>
      </w:r>
      <w:r w:rsidR="00D91423">
        <w:rPr>
          <w:rFonts w:ascii="Calibri" w:hAnsi="Calibri" w:cs="Calibri"/>
          <w:color w:val="00183D"/>
          <w:lang w:val="en-US"/>
        </w:rPr>
        <w:t>with</w:t>
      </w:r>
      <w:r w:rsidRPr="00551AE8">
        <w:rPr>
          <w:rFonts w:ascii="Calibri" w:hAnsi="Calibri" w:cs="Calibri"/>
          <w:color w:val="00183D"/>
          <w:lang w:val="en-US"/>
        </w:rPr>
        <w:t xml:space="preserve"> the new agreement and support program with the IMF, the much-needed structural reforms to revamp its domestic economy</w:t>
      </w:r>
      <w:r w:rsidR="001E045C">
        <w:rPr>
          <w:rFonts w:ascii="Calibri" w:hAnsi="Calibri" w:cs="Calibri"/>
          <w:color w:val="00183D"/>
          <w:lang w:val="en-US"/>
        </w:rPr>
        <w:t xml:space="preserve"> may take some time to materialize</w:t>
      </w:r>
      <w:r w:rsidR="00D91423">
        <w:rPr>
          <w:rFonts w:ascii="Calibri" w:hAnsi="Calibri" w:cs="Calibri"/>
          <w:color w:val="00183D"/>
          <w:lang w:val="en-US"/>
        </w:rPr>
        <w:t xml:space="preserve">. </w:t>
      </w:r>
      <w:r w:rsidRPr="00551AE8">
        <w:rPr>
          <w:rFonts w:ascii="Calibri" w:hAnsi="Calibri" w:cs="Calibri"/>
          <w:color w:val="00183D"/>
          <w:lang w:val="en-US"/>
        </w:rPr>
        <w:t xml:space="preserve">Amidst the macroeconomic uncertainty, consumption will probably suffer. The continuation of the cement production quota for another year does provide a buffer however in sustaining cement production and profitability of operations. </w:t>
      </w:r>
      <w:r w:rsidR="007B12C1">
        <w:rPr>
          <w:rFonts w:ascii="Calibri" w:hAnsi="Calibri" w:cs="Calibri"/>
          <w:color w:val="00183D"/>
          <w:lang w:val="en-US"/>
        </w:rPr>
        <w:t>Concurrently</w:t>
      </w:r>
      <w:r w:rsidRPr="00551AE8">
        <w:rPr>
          <w:rFonts w:ascii="Calibri" w:hAnsi="Calibri" w:cs="Calibri"/>
          <w:color w:val="00183D"/>
          <w:lang w:val="en-US"/>
        </w:rPr>
        <w:t xml:space="preserve">, the Group is investing to expand its alternative fuel utilization facilities </w:t>
      </w:r>
      <w:r w:rsidR="0081322C">
        <w:rPr>
          <w:rFonts w:ascii="Calibri" w:hAnsi="Calibri" w:cs="Calibri"/>
          <w:color w:val="00183D"/>
          <w:lang w:val="en-US"/>
        </w:rPr>
        <w:t xml:space="preserve">that </w:t>
      </w:r>
      <w:r w:rsidRPr="00551AE8">
        <w:rPr>
          <w:rFonts w:ascii="Calibri" w:hAnsi="Calibri" w:cs="Calibri"/>
          <w:color w:val="00183D"/>
          <w:lang w:val="en-US"/>
        </w:rPr>
        <w:t>will lead to considerable efficiencies in its cost performance.</w:t>
      </w:r>
    </w:p>
    <w:p w14:paraId="35BEB844" w14:textId="19018EF3" w:rsidR="00925D8B" w:rsidRPr="00551AE8" w:rsidRDefault="00925D8B" w:rsidP="00CA64F0">
      <w:pPr>
        <w:pStyle w:val="BodyText"/>
        <w:spacing w:before="80"/>
        <w:jc w:val="both"/>
        <w:rPr>
          <w:rFonts w:ascii="Calibri" w:hAnsi="Calibri" w:cs="Calibri"/>
          <w:color w:val="00183D"/>
          <w:lang w:val="en-US"/>
        </w:rPr>
      </w:pPr>
      <w:r w:rsidRPr="00551AE8">
        <w:rPr>
          <w:rFonts w:ascii="Calibri" w:hAnsi="Calibri" w:cs="Calibri"/>
          <w:color w:val="00183D"/>
          <w:lang w:val="en-US"/>
        </w:rPr>
        <w:t xml:space="preserve">In Turkey, the recent tragic events of the massive earthquake ravaging the south of the country and the tremendous needs for reconstruction arising, will affect cement consumption for the years to come, as demand at national level will shoot up. In this context and amidst the political uncertainty highlighted by the upcoming Presidential and parliamentary elections, volatility remains. The Group aims to improve its cost competitiveness embarking on an ambitious alternative fuel investment which will see it become the first cement producer in Turkey to burn biomass, resulting in considerable cost savings. Utilization of the export terminal in Samsun will provide an additional </w:t>
      </w:r>
      <w:r w:rsidR="00E97691">
        <w:rPr>
          <w:rFonts w:ascii="Calibri" w:hAnsi="Calibri" w:cs="Calibri"/>
          <w:color w:val="00183D"/>
          <w:lang w:val="en-US"/>
        </w:rPr>
        <w:t>sales</w:t>
      </w:r>
      <w:r w:rsidRPr="00551AE8">
        <w:rPr>
          <w:rFonts w:ascii="Calibri" w:hAnsi="Calibri" w:cs="Calibri"/>
          <w:color w:val="00183D"/>
          <w:lang w:val="en-US"/>
        </w:rPr>
        <w:t xml:space="preserve"> opportunity for Titan.</w:t>
      </w:r>
    </w:p>
    <w:p w14:paraId="137A2825" w14:textId="3DF97C0E" w:rsidR="00925D8B" w:rsidRPr="00551AE8" w:rsidRDefault="00925D8B" w:rsidP="004B3F62">
      <w:pPr>
        <w:pStyle w:val="BodyText"/>
        <w:spacing w:before="80"/>
        <w:jc w:val="both"/>
        <w:rPr>
          <w:rFonts w:ascii="Calibri" w:hAnsi="Calibri" w:cs="Calibri"/>
          <w:color w:val="00183D"/>
          <w:lang w:val="en-US"/>
        </w:rPr>
      </w:pPr>
      <w:r w:rsidRPr="00551AE8">
        <w:rPr>
          <w:rFonts w:ascii="Calibri" w:hAnsi="Calibri" w:cs="Calibri"/>
          <w:color w:val="00183D"/>
          <w:lang w:val="en-US"/>
        </w:rPr>
        <w:t xml:space="preserve">The world, and our industry, </w:t>
      </w:r>
      <w:r w:rsidR="009A6D26">
        <w:rPr>
          <w:rFonts w:ascii="Calibri" w:hAnsi="Calibri" w:cs="Calibri"/>
          <w:color w:val="00183D"/>
          <w:lang w:val="en-US"/>
        </w:rPr>
        <w:t>are</w:t>
      </w:r>
      <w:r w:rsidRPr="00551AE8">
        <w:rPr>
          <w:rFonts w:ascii="Calibri" w:hAnsi="Calibri" w:cs="Calibri"/>
          <w:color w:val="00183D"/>
          <w:lang w:val="en-US"/>
        </w:rPr>
        <w:t xml:space="preserve"> undergoing a structural transition which will see economic production shifting to greener, more efficient, new and innovative ways of producing goods, more smartly utilizing resources, with digital technology and material innovation at the forefront. As such, our Group has recognized the opportunities and challenges ahead and is working towards the direction of transforming its business and offering in a manner that is sustainable, closer to the customer, more efficient in its use of resources and means of production and in the end more profitable for all stakeholders of the Group.</w:t>
      </w:r>
    </w:p>
    <w:bookmarkEnd w:id="1"/>
    <w:p w14:paraId="4FB5EA7F" w14:textId="77777777" w:rsidR="00FD7C58" w:rsidRDefault="00FD7C58" w:rsidP="004A7016">
      <w:pPr>
        <w:spacing w:after="200" w:line="276" w:lineRule="auto"/>
        <w:rPr>
          <w:rFonts w:ascii="Calibri" w:eastAsia="Arial" w:hAnsi="Calibri" w:cs="Calibri"/>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6"/>
        <w:gridCol w:w="136"/>
        <w:gridCol w:w="1682"/>
        <w:gridCol w:w="136"/>
        <w:gridCol w:w="1687"/>
      </w:tblGrid>
      <w:tr w:rsidR="008C275C" w14:paraId="3DA4170F" w14:textId="77777777" w:rsidTr="00CD0B6A">
        <w:trPr>
          <w:cantSplit/>
          <w:trHeight w:hRule="exact" w:val="428"/>
        </w:trPr>
        <w:tc>
          <w:tcPr>
            <w:tcW w:w="9787" w:type="dxa"/>
            <w:gridSpan w:val="5"/>
            <w:tcBorders>
              <w:top w:val="nil"/>
              <w:left w:val="nil"/>
              <w:bottom w:val="single" w:sz="8" w:space="0" w:color="000000"/>
              <w:right w:val="nil"/>
            </w:tcBorders>
            <w:shd w:val="clear" w:color="auto" w:fill="FFFFFF"/>
            <w:tcMar>
              <w:top w:w="0" w:type="dxa"/>
              <w:left w:w="53" w:type="dxa"/>
              <w:bottom w:w="0" w:type="dxa"/>
              <w:right w:w="53" w:type="dxa"/>
            </w:tcMar>
            <w:vAlign w:val="bottom"/>
          </w:tcPr>
          <w:p w14:paraId="684F19F7" w14:textId="77777777" w:rsidR="008C275C" w:rsidRDefault="008C275C" w:rsidP="001B288A">
            <w:pPr>
              <w:keepNext/>
              <w:spacing w:before="53" w:after="30"/>
            </w:pPr>
            <w:r>
              <w:rPr>
                <w:rFonts w:ascii="Calibri" w:eastAsia="Calibri" w:hAnsi="Calibri" w:cs="Calibri"/>
                <w:b/>
                <w:color w:val="00183D"/>
                <w:sz w:val="28"/>
              </w:rPr>
              <w:lastRenderedPageBreak/>
              <w:t xml:space="preserve">Consolidated Income Statement </w:t>
            </w:r>
          </w:p>
        </w:tc>
      </w:tr>
      <w:tr w:rsidR="008C275C" w14:paraId="683FE3B9" w14:textId="77777777" w:rsidTr="00CD0B6A">
        <w:trPr>
          <w:cantSplit/>
          <w:trHeight w:hRule="exact" w:val="167"/>
        </w:trPr>
        <w:tc>
          <w:tcPr>
            <w:tcW w:w="6146" w:type="dxa"/>
            <w:tcBorders>
              <w:top w:val="nil"/>
              <w:left w:val="nil"/>
              <w:bottom w:val="single" w:sz="8" w:space="0" w:color="4F81BD"/>
              <w:right w:val="nil"/>
            </w:tcBorders>
            <w:tcMar>
              <w:top w:w="0" w:type="dxa"/>
              <w:left w:w="53" w:type="dxa"/>
              <w:bottom w:w="0" w:type="dxa"/>
              <w:right w:w="53" w:type="dxa"/>
            </w:tcMar>
            <w:vAlign w:val="bottom"/>
          </w:tcPr>
          <w:p w14:paraId="5B157DBA" w14:textId="77777777" w:rsidR="008C275C" w:rsidRDefault="008C275C" w:rsidP="001B288A">
            <w:pPr>
              <w:keepNext/>
              <w:spacing w:before="33" w:after="30"/>
            </w:pPr>
          </w:p>
        </w:tc>
        <w:tc>
          <w:tcPr>
            <w:tcW w:w="136" w:type="dxa"/>
            <w:tcBorders>
              <w:top w:val="single" w:sz="8" w:space="0" w:color="000000"/>
              <w:left w:val="nil"/>
              <w:bottom w:val="nil"/>
              <w:right w:val="nil"/>
            </w:tcBorders>
            <w:tcMar>
              <w:top w:w="0" w:type="dxa"/>
              <w:left w:w="53" w:type="dxa"/>
              <w:bottom w:w="0" w:type="dxa"/>
              <w:right w:w="53" w:type="dxa"/>
            </w:tcMar>
            <w:vAlign w:val="bottom"/>
          </w:tcPr>
          <w:p w14:paraId="62853C42" w14:textId="77777777" w:rsidR="008C275C" w:rsidRDefault="008C275C" w:rsidP="001B288A">
            <w:pPr>
              <w:keepNext/>
              <w:spacing w:before="33" w:after="30"/>
            </w:pPr>
          </w:p>
        </w:tc>
        <w:tc>
          <w:tcPr>
            <w:tcW w:w="1682" w:type="dxa"/>
            <w:tcBorders>
              <w:top w:val="single" w:sz="8" w:space="0" w:color="000000"/>
              <w:left w:val="nil"/>
              <w:bottom w:val="single" w:sz="8" w:space="0" w:color="4F81BD"/>
              <w:right w:val="nil"/>
            </w:tcBorders>
            <w:tcMar>
              <w:top w:w="0" w:type="dxa"/>
              <w:left w:w="53" w:type="dxa"/>
              <w:bottom w:w="0" w:type="dxa"/>
              <w:right w:w="53" w:type="dxa"/>
            </w:tcMar>
            <w:vAlign w:val="bottom"/>
          </w:tcPr>
          <w:p w14:paraId="2C659B33" w14:textId="77777777" w:rsidR="008C275C" w:rsidRDefault="008C275C" w:rsidP="001B288A">
            <w:pPr>
              <w:keepNext/>
              <w:spacing w:before="33" w:after="30"/>
            </w:pPr>
          </w:p>
        </w:tc>
        <w:tc>
          <w:tcPr>
            <w:tcW w:w="136" w:type="dxa"/>
            <w:tcBorders>
              <w:top w:val="single" w:sz="8" w:space="0" w:color="000000"/>
              <w:left w:val="nil"/>
              <w:bottom w:val="single" w:sz="4" w:space="0" w:color="026DCE"/>
              <w:right w:val="nil"/>
            </w:tcBorders>
            <w:tcMar>
              <w:top w:w="0" w:type="dxa"/>
              <w:left w:w="53" w:type="dxa"/>
              <w:bottom w:w="0" w:type="dxa"/>
              <w:right w:w="53" w:type="dxa"/>
            </w:tcMar>
            <w:vAlign w:val="bottom"/>
          </w:tcPr>
          <w:p w14:paraId="50FFCA98" w14:textId="77777777" w:rsidR="008C275C" w:rsidRDefault="008C275C" w:rsidP="001B288A">
            <w:pPr>
              <w:keepNext/>
              <w:spacing w:before="33" w:after="30"/>
            </w:pPr>
          </w:p>
        </w:tc>
        <w:tc>
          <w:tcPr>
            <w:tcW w:w="1685" w:type="dxa"/>
            <w:tcBorders>
              <w:top w:val="single" w:sz="8" w:space="0" w:color="000000"/>
              <w:left w:val="nil"/>
              <w:bottom w:val="single" w:sz="8" w:space="0" w:color="4F81BD"/>
              <w:right w:val="nil"/>
            </w:tcBorders>
            <w:tcMar>
              <w:top w:w="0" w:type="dxa"/>
              <w:left w:w="53" w:type="dxa"/>
              <w:bottom w:w="0" w:type="dxa"/>
              <w:right w:w="53" w:type="dxa"/>
            </w:tcMar>
            <w:vAlign w:val="bottom"/>
          </w:tcPr>
          <w:p w14:paraId="000C059C" w14:textId="77777777" w:rsidR="008C275C" w:rsidRDefault="008C275C" w:rsidP="001B288A">
            <w:pPr>
              <w:keepNext/>
              <w:spacing w:before="33" w:after="30"/>
            </w:pPr>
          </w:p>
        </w:tc>
      </w:tr>
      <w:tr w:rsidR="008C275C" w14:paraId="218FF8D0" w14:textId="77777777" w:rsidTr="00CD0B6A">
        <w:trPr>
          <w:cantSplit/>
          <w:trHeight w:hRule="exact" w:val="306"/>
        </w:trPr>
        <w:tc>
          <w:tcPr>
            <w:tcW w:w="6146" w:type="dxa"/>
            <w:vMerge w:val="restart"/>
            <w:tcBorders>
              <w:top w:val="nil"/>
              <w:left w:val="nil"/>
              <w:bottom w:val="nil"/>
              <w:right w:val="nil"/>
            </w:tcBorders>
            <w:shd w:val="clear" w:color="auto" w:fill="FFFFFF"/>
            <w:tcMar>
              <w:top w:w="0" w:type="dxa"/>
              <w:left w:w="53" w:type="dxa"/>
              <w:bottom w:w="0" w:type="dxa"/>
              <w:right w:w="53" w:type="dxa"/>
            </w:tcMar>
          </w:tcPr>
          <w:p w14:paraId="761016EF" w14:textId="77777777" w:rsidR="008C275C" w:rsidRDefault="008C275C" w:rsidP="001B288A">
            <w:pPr>
              <w:keepNext/>
              <w:spacing w:before="33" w:after="30"/>
            </w:pPr>
            <w:r>
              <w:rPr>
                <w:rFonts w:ascii="Calibri" w:eastAsia="Calibri" w:hAnsi="Calibri" w:cs="Calibri"/>
                <w:i/>
                <w:color w:val="000000"/>
                <w:sz w:val="18"/>
              </w:rPr>
              <w:t>(</w:t>
            </w:r>
            <w:proofErr w:type="gramStart"/>
            <w:r>
              <w:rPr>
                <w:rFonts w:ascii="Calibri" w:eastAsia="Calibri" w:hAnsi="Calibri" w:cs="Calibri"/>
                <w:i/>
                <w:color w:val="000000"/>
                <w:sz w:val="18"/>
              </w:rPr>
              <w:t>all</w:t>
            </w:r>
            <w:proofErr w:type="gramEnd"/>
            <w:r>
              <w:rPr>
                <w:rFonts w:ascii="Calibri" w:eastAsia="Calibri" w:hAnsi="Calibri" w:cs="Calibri"/>
                <w:i/>
                <w:color w:val="000000"/>
                <w:sz w:val="18"/>
              </w:rPr>
              <w:t xml:space="preserve"> amounts in Euro thousands)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24CB76C" w14:textId="77777777" w:rsidR="008C275C" w:rsidRDefault="008C275C" w:rsidP="001B288A">
            <w:pPr>
              <w:keepNext/>
              <w:spacing w:before="33" w:after="30"/>
              <w:jc w:val="right"/>
            </w:pPr>
          </w:p>
        </w:tc>
        <w:tc>
          <w:tcPr>
            <w:tcW w:w="3504" w:type="dxa"/>
            <w:gridSpan w:val="3"/>
            <w:tcBorders>
              <w:top w:val="nil"/>
              <w:left w:val="nil"/>
              <w:bottom w:val="nil"/>
              <w:right w:val="nil"/>
            </w:tcBorders>
            <w:shd w:val="clear" w:color="auto" w:fill="FFFFFF"/>
            <w:tcMar>
              <w:top w:w="0" w:type="dxa"/>
              <w:left w:w="53" w:type="dxa"/>
              <w:bottom w:w="0" w:type="dxa"/>
              <w:right w:w="53" w:type="dxa"/>
            </w:tcMar>
            <w:vAlign w:val="bottom"/>
          </w:tcPr>
          <w:p w14:paraId="342599F4" w14:textId="77777777" w:rsidR="008C275C" w:rsidRDefault="008C275C" w:rsidP="001B288A">
            <w:pPr>
              <w:keepNext/>
              <w:spacing w:before="33" w:after="30"/>
              <w:jc w:val="center"/>
            </w:pPr>
            <w:r>
              <w:rPr>
                <w:rFonts w:ascii="Calibri" w:eastAsia="Calibri" w:hAnsi="Calibri" w:cs="Calibri"/>
                <w:b/>
                <w:color w:val="000000"/>
                <w:sz w:val="21"/>
              </w:rPr>
              <w:t>Year ended 31 December</w:t>
            </w:r>
          </w:p>
        </w:tc>
      </w:tr>
      <w:tr w:rsidR="008C275C" w14:paraId="67271D82" w14:textId="77777777" w:rsidTr="00CD0B6A">
        <w:trPr>
          <w:cantSplit/>
          <w:trHeight w:hRule="exact" w:val="306"/>
        </w:trPr>
        <w:tc>
          <w:tcPr>
            <w:tcW w:w="6146" w:type="dxa"/>
            <w:vMerge/>
            <w:tcBorders>
              <w:top w:val="nil"/>
              <w:left w:val="nil"/>
              <w:bottom w:val="nil"/>
              <w:right w:val="nil"/>
            </w:tcBorders>
          </w:tcPr>
          <w:p w14:paraId="2B490EDE"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2CCC232E" w14:textId="77777777" w:rsidR="008C275C" w:rsidRDefault="008C275C" w:rsidP="001B288A">
            <w:pPr>
              <w:keepNext/>
              <w:spacing w:before="48" w:after="30"/>
            </w:pPr>
          </w:p>
        </w:tc>
        <w:tc>
          <w:tcPr>
            <w:tcW w:w="1682"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2E6E6EF5" w14:textId="77777777" w:rsidR="008C275C" w:rsidRDefault="008C275C" w:rsidP="001B288A">
            <w:pPr>
              <w:keepNext/>
              <w:spacing w:before="48" w:after="30"/>
              <w:jc w:val="right"/>
            </w:pPr>
            <w:r>
              <w:rPr>
                <w:rFonts w:ascii="Calibri" w:eastAsia="Calibri" w:hAnsi="Calibri" w:cs="Calibri"/>
                <w:b/>
                <w:color w:val="000000"/>
                <w:sz w:val="21"/>
              </w:rPr>
              <w:t>2022</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DA37F46" w14:textId="77777777" w:rsidR="008C275C" w:rsidRDefault="008C275C" w:rsidP="001B288A">
            <w:pPr>
              <w:keepNext/>
              <w:spacing w:before="48" w:after="30"/>
              <w:jc w:val="right"/>
            </w:pPr>
          </w:p>
        </w:tc>
        <w:tc>
          <w:tcPr>
            <w:tcW w:w="1685"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64568B33" w14:textId="77777777" w:rsidR="008C275C" w:rsidRDefault="008C275C" w:rsidP="001B288A">
            <w:pPr>
              <w:keepNext/>
              <w:spacing w:before="48" w:after="30"/>
              <w:jc w:val="right"/>
            </w:pPr>
            <w:r>
              <w:rPr>
                <w:rFonts w:ascii="Calibri" w:eastAsia="Calibri" w:hAnsi="Calibri" w:cs="Calibri"/>
                <w:b/>
                <w:color w:val="000000"/>
                <w:sz w:val="21"/>
              </w:rPr>
              <w:t>2021</w:t>
            </w:r>
          </w:p>
        </w:tc>
      </w:tr>
      <w:tr w:rsidR="008C275C" w14:paraId="381A28B0" w14:textId="77777777" w:rsidTr="00CD0B6A">
        <w:trPr>
          <w:cantSplit/>
          <w:trHeight w:hRule="exact" w:val="199"/>
        </w:trPr>
        <w:tc>
          <w:tcPr>
            <w:tcW w:w="6146" w:type="dxa"/>
            <w:vMerge/>
            <w:tcBorders>
              <w:top w:val="nil"/>
              <w:left w:val="nil"/>
              <w:bottom w:val="single" w:sz="2" w:space="0" w:color="000000"/>
              <w:right w:val="nil"/>
            </w:tcBorders>
          </w:tcPr>
          <w:p w14:paraId="62A3F956"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7A154C6" w14:textId="77777777" w:rsidR="008C275C" w:rsidRDefault="008C275C" w:rsidP="001B288A">
            <w:pPr>
              <w:keepNext/>
              <w:spacing w:before="33" w:after="30"/>
            </w:pPr>
          </w:p>
        </w:tc>
        <w:tc>
          <w:tcPr>
            <w:tcW w:w="1682" w:type="dxa"/>
            <w:tcBorders>
              <w:top w:val="single" w:sz="8" w:space="0" w:color="000000"/>
              <w:left w:val="nil"/>
              <w:bottom w:val="single" w:sz="2" w:space="0" w:color="000000"/>
              <w:right w:val="nil"/>
            </w:tcBorders>
            <w:shd w:val="clear" w:color="auto" w:fill="FFFFFF"/>
            <w:tcMar>
              <w:top w:w="0" w:type="dxa"/>
              <w:left w:w="53" w:type="dxa"/>
              <w:bottom w:w="0" w:type="dxa"/>
              <w:right w:w="53" w:type="dxa"/>
            </w:tcMar>
            <w:vAlign w:val="bottom"/>
          </w:tcPr>
          <w:p w14:paraId="133E056D" w14:textId="77777777" w:rsidR="008C275C" w:rsidRDefault="008C275C" w:rsidP="001B288A">
            <w:pPr>
              <w:keepNext/>
              <w:spacing w:before="33" w:after="30"/>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D62E3BD" w14:textId="77777777" w:rsidR="008C275C" w:rsidRDefault="008C275C" w:rsidP="001B288A">
            <w:pPr>
              <w:keepNext/>
              <w:spacing w:before="33" w:after="30"/>
              <w:jc w:val="right"/>
            </w:pPr>
          </w:p>
        </w:tc>
        <w:tc>
          <w:tcPr>
            <w:tcW w:w="1685" w:type="dxa"/>
            <w:tcBorders>
              <w:top w:val="single" w:sz="8" w:space="0" w:color="000000"/>
              <w:left w:val="nil"/>
              <w:bottom w:val="single" w:sz="2" w:space="0" w:color="000000"/>
              <w:right w:val="nil"/>
            </w:tcBorders>
            <w:shd w:val="clear" w:color="auto" w:fill="FFFFFF"/>
            <w:tcMar>
              <w:top w:w="0" w:type="dxa"/>
              <w:left w:w="53" w:type="dxa"/>
              <w:bottom w:w="0" w:type="dxa"/>
              <w:right w:w="53" w:type="dxa"/>
            </w:tcMar>
            <w:vAlign w:val="bottom"/>
          </w:tcPr>
          <w:p w14:paraId="65C7ABE4" w14:textId="77777777" w:rsidR="008C275C" w:rsidRDefault="008C275C" w:rsidP="001B288A">
            <w:pPr>
              <w:keepNext/>
              <w:spacing w:before="33" w:after="30"/>
            </w:pPr>
          </w:p>
        </w:tc>
      </w:tr>
      <w:tr w:rsidR="008C275C" w14:paraId="53E7282F"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5E97C020" w14:textId="77777777" w:rsidR="008C275C" w:rsidRDefault="008C275C" w:rsidP="001B288A">
            <w:pPr>
              <w:keepNext/>
            </w:pPr>
            <w:r>
              <w:rPr>
                <w:rFonts w:ascii="Calibri" w:eastAsia="Calibri" w:hAnsi="Calibri" w:cs="Calibri"/>
                <w:color w:val="000000"/>
                <w:sz w:val="21"/>
              </w:rPr>
              <w:t>Sales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EB283CE"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1778387" w14:textId="77777777" w:rsidR="008C275C" w:rsidRDefault="008C275C" w:rsidP="001B288A">
            <w:pPr>
              <w:keepNext/>
              <w:spacing w:before="48" w:after="30"/>
              <w:jc w:val="right"/>
            </w:pPr>
            <w:r>
              <w:rPr>
                <w:rFonts w:ascii="Calibri" w:eastAsia="Calibri" w:hAnsi="Calibri" w:cs="Calibri"/>
                <w:color w:val="000000"/>
                <w:sz w:val="21"/>
              </w:rPr>
              <w:t>2,282,207</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0FD981B"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BC0F0EB" w14:textId="77777777" w:rsidR="008C275C" w:rsidRDefault="008C275C" w:rsidP="001B288A">
            <w:pPr>
              <w:keepNext/>
              <w:spacing w:before="48" w:after="30"/>
              <w:jc w:val="right"/>
            </w:pPr>
            <w:r>
              <w:rPr>
                <w:rFonts w:ascii="Calibri" w:eastAsia="Calibri" w:hAnsi="Calibri" w:cs="Calibri"/>
                <w:color w:val="000000"/>
                <w:sz w:val="21"/>
              </w:rPr>
              <w:t>1,714,623</w:t>
            </w:r>
          </w:p>
        </w:tc>
      </w:tr>
      <w:tr w:rsidR="008C275C" w14:paraId="7C604562"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65FD7CFC" w14:textId="77777777" w:rsidR="008C275C" w:rsidRDefault="008C275C" w:rsidP="001B288A">
            <w:pPr>
              <w:keepNext/>
            </w:pPr>
            <w:r>
              <w:rPr>
                <w:rFonts w:ascii="Calibri" w:eastAsia="Calibri" w:hAnsi="Calibri" w:cs="Calibri"/>
                <w:color w:val="000000"/>
                <w:sz w:val="21"/>
              </w:rPr>
              <w:t>Cost of sales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8B0B2E7"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DCC1C36" w14:textId="77777777" w:rsidR="008C275C" w:rsidRDefault="008C275C" w:rsidP="001B288A">
            <w:pPr>
              <w:keepNext/>
              <w:spacing w:before="48" w:after="30"/>
              <w:jc w:val="right"/>
            </w:pPr>
            <w:r>
              <w:rPr>
                <w:rFonts w:ascii="Calibri" w:eastAsia="Calibri" w:hAnsi="Calibri" w:cs="Calibri"/>
                <w:color w:val="000000"/>
                <w:sz w:val="21"/>
              </w:rPr>
              <w:t>-1,889,522</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A632AB8"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tcMar>
              <w:top w:w="0" w:type="dxa"/>
              <w:left w:w="0" w:type="dxa"/>
              <w:bottom w:w="0" w:type="dxa"/>
              <w:right w:w="53" w:type="dxa"/>
            </w:tcMar>
            <w:vAlign w:val="bottom"/>
          </w:tcPr>
          <w:p w14:paraId="296AAC49" w14:textId="77777777" w:rsidR="008C275C" w:rsidRDefault="008C275C" w:rsidP="001B288A">
            <w:pPr>
              <w:keepNext/>
              <w:spacing w:before="48" w:after="30"/>
              <w:jc w:val="right"/>
            </w:pPr>
            <w:r>
              <w:rPr>
                <w:rFonts w:ascii="Calibri" w:eastAsia="Calibri" w:hAnsi="Calibri" w:cs="Calibri"/>
                <w:color w:val="000000"/>
                <w:sz w:val="21"/>
              </w:rPr>
              <w:t>-1,403,728</w:t>
            </w:r>
          </w:p>
        </w:tc>
      </w:tr>
      <w:tr w:rsidR="008C275C" w14:paraId="2EC3BC98"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1452AAC7" w14:textId="77777777" w:rsidR="008C275C" w:rsidRDefault="008C275C" w:rsidP="001B288A">
            <w:pPr>
              <w:keepNext/>
            </w:pPr>
            <w:r>
              <w:rPr>
                <w:rFonts w:ascii="Calibri" w:eastAsia="Calibri" w:hAnsi="Calibri" w:cs="Calibri"/>
                <w:b/>
                <w:color w:val="000000"/>
                <w:sz w:val="21"/>
              </w:rPr>
              <w:t>Gross profit</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26E569B"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DFD48A2" w14:textId="77777777" w:rsidR="008C275C" w:rsidRDefault="008C275C" w:rsidP="001B288A">
            <w:pPr>
              <w:keepNext/>
              <w:spacing w:before="48" w:after="30"/>
              <w:jc w:val="right"/>
            </w:pPr>
            <w:r>
              <w:rPr>
                <w:rFonts w:ascii="Calibri" w:eastAsia="Calibri" w:hAnsi="Calibri" w:cs="Calibri"/>
                <w:b/>
                <w:color w:val="000000"/>
                <w:sz w:val="21"/>
              </w:rPr>
              <w:t>392,685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8D83DE7"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ACB9299" w14:textId="77777777" w:rsidR="008C275C" w:rsidRDefault="008C275C" w:rsidP="001B288A">
            <w:pPr>
              <w:keepNext/>
              <w:spacing w:before="48" w:after="30"/>
              <w:jc w:val="right"/>
            </w:pPr>
            <w:r>
              <w:rPr>
                <w:rFonts w:ascii="Calibri" w:eastAsia="Calibri" w:hAnsi="Calibri" w:cs="Calibri"/>
                <w:b/>
                <w:color w:val="000000"/>
                <w:sz w:val="21"/>
              </w:rPr>
              <w:t>310,895</w:t>
            </w:r>
          </w:p>
        </w:tc>
      </w:tr>
      <w:tr w:rsidR="008C275C" w14:paraId="0BAD90DB"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2626D1DC" w14:textId="77777777" w:rsidR="008C275C" w:rsidRDefault="008C275C" w:rsidP="001B288A">
            <w:pPr>
              <w:keepNext/>
            </w:pPr>
            <w:r>
              <w:rPr>
                <w:rFonts w:ascii="Calibri" w:eastAsia="Calibri" w:hAnsi="Calibri" w:cs="Calibri"/>
                <w:color w:val="000000"/>
                <w:sz w:val="21"/>
              </w:rPr>
              <w:t>Other operating income</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3A4DB911"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2C19A57" w14:textId="77777777" w:rsidR="008C275C" w:rsidRDefault="008C275C" w:rsidP="001B288A">
            <w:pPr>
              <w:keepNext/>
              <w:spacing w:before="48" w:after="30"/>
              <w:jc w:val="right"/>
            </w:pPr>
            <w:r>
              <w:rPr>
                <w:rFonts w:ascii="Calibri" w:eastAsia="Calibri" w:hAnsi="Calibri" w:cs="Calibri"/>
                <w:color w:val="000000"/>
                <w:sz w:val="21"/>
              </w:rPr>
              <w:t>8,058</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84ADB49"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tcMar>
              <w:top w:w="0" w:type="dxa"/>
              <w:left w:w="0" w:type="dxa"/>
              <w:bottom w:w="0" w:type="dxa"/>
              <w:right w:w="53" w:type="dxa"/>
            </w:tcMar>
            <w:vAlign w:val="bottom"/>
          </w:tcPr>
          <w:p w14:paraId="1ACB7E00" w14:textId="77777777" w:rsidR="008C275C" w:rsidRDefault="008C275C" w:rsidP="001B288A">
            <w:pPr>
              <w:keepNext/>
              <w:spacing w:before="48" w:after="30"/>
              <w:jc w:val="right"/>
            </w:pPr>
            <w:r>
              <w:rPr>
                <w:rFonts w:ascii="Calibri" w:eastAsia="Calibri" w:hAnsi="Calibri" w:cs="Calibri"/>
                <w:color w:val="000000"/>
                <w:sz w:val="21"/>
              </w:rPr>
              <w:t>10,728</w:t>
            </w:r>
          </w:p>
        </w:tc>
      </w:tr>
      <w:tr w:rsidR="008C275C" w14:paraId="18261539"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1C9AE6A5" w14:textId="77777777" w:rsidR="008C275C" w:rsidRDefault="008C275C" w:rsidP="001B288A">
            <w:pPr>
              <w:keepNext/>
            </w:pPr>
            <w:r>
              <w:rPr>
                <w:rFonts w:ascii="Calibri" w:eastAsia="Calibri" w:hAnsi="Calibri" w:cs="Calibri"/>
                <w:color w:val="000000"/>
                <w:sz w:val="21"/>
              </w:rPr>
              <w:t>Administrative expenses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D8F0D8C"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407AA3E" w14:textId="77777777" w:rsidR="008C275C" w:rsidRDefault="008C275C" w:rsidP="001B288A">
            <w:pPr>
              <w:keepNext/>
              <w:spacing w:before="48" w:after="30"/>
              <w:jc w:val="right"/>
            </w:pPr>
            <w:r>
              <w:rPr>
                <w:rFonts w:ascii="Calibri" w:eastAsia="Calibri" w:hAnsi="Calibri" w:cs="Calibri"/>
                <w:color w:val="000000"/>
                <w:sz w:val="21"/>
              </w:rPr>
              <w:t>-188,319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51B0C6D"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tcMar>
              <w:top w:w="0" w:type="dxa"/>
              <w:left w:w="0" w:type="dxa"/>
              <w:bottom w:w="0" w:type="dxa"/>
              <w:right w:w="53" w:type="dxa"/>
            </w:tcMar>
            <w:vAlign w:val="bottom"/>
          </w:tcPr>
          <w:p w14:paraId="59B88DD5" w14:textId="77777777" w:rsidR="008C275C" w:rsidRDefault="008C275C" w:rsidP="001B288A">
            <w:pPr>
              <w:keepNext/>
              <w:spacing w:before="48" w:after="30"/>
              <w:jc w:val="right"/>
            </w:pPr>
            <w:r>
              <w:rPr>
                <w:rFonts w:ascii="Calibri" w:eastAsia="Calibri" w:hAnsi="Calibri" w:cs="Calibri"/>
                <w:color w:val="000000"/>
                <w:sz w:val="21"/>
              </w:rPr>
              <w:t>-153,951</w:t>
            </w:r>
          </w:p>
        </w:tc>
      </w:tr>
      <w:tr w:rsidR="008C275C" w14:paraId="3310CB22"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0808F451" w14:textId="77777777" w:rsidR="008C275C" w:rsidRDefault="008C275C" w:rsidP="001B288A">
            <w:pPr>
              <w:keepNext/>
            </w:pPr>
            <w:r>
              <w:rPr>
                <w:rFonts w:ascii="Calibri" w:eastAsia="Calibri" w:hAnsi="Calibri" w:cs="Calibri"/>
                <w:color w:val="000000"/>
                <w:sz w:val="21"/>
              </w:rPr>
              <w:t>Selling and marketing expenses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A917B46"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A3320F2" w14:textId="77777777" w:rsidR="008C275C" w:rsidRDefault="008C275C" w:rsidP="001B288A">
            <w:pPr>
              <w:keepNext/>
              <w:spacing w:before="48" w:after="30"/>
              <w:jc w:val="right"/>
            </w:pPr>
            <w:r>
              <w:rPr>
                <w:rFonts w:ascii="Calibri" w:eastAsia="Calibri" w:hAnsi="Calibri" w:cs="Calibri"/>
                <w:color w:val="000000"/>
                <w:sz w:val="21"/>
              </w:rPr>
              <w:t>-28,654</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683A8B3"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tcMar>
              <w:top w:w="0" w:type="dxa"/>
              <w:left w:w="0" w:type="dxa"/>
              <w:bottom w:w="0" w:type="dxa"/>
              <w:right w:w="53" w:type="dxa"/>
            </w:tcMar>
            <w:vAlign w:val="bottom"/>
          </w:tcPr>
          <w:p w14:paraId="73EBAB1F" w14:textId="77777777" w:rsidR="008C275C" w:rsidRDefault="008C275C" w:rsidP="001B288A">
            <w:pPr>
              <w:keepNext/>
              <w:spacing w:before="48" w:after="30"/>
              <w:jc w:val="right"/>
            </w:pPr>
            <w:r>
              <w:rPr>
                <w:rFonts w:ascii="Calibri" w:eastAsia="Calibri" w:hAnsi="Calibri" w:cs="Calibri"/>
                <w:color w:val="000000"/>
                <w:sz w:val="21"/>
              </w:rPr>
              <w:t>-26,391</w:t>
            </w:r>
          </w:p>
        </w:tc>
      </w:tr>
      <w:tr w:rsidR="008C275C" w14:paraId="7820B59C"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264DAF65" w14:textId="77777777" w:rsidR="008C275C" w:rsidRDefault="008C275C" w:rsidP="001B288A">
            <w:pPr>
              <w:keepNext/>
            </w:pPr>
            <w:r>
              <w:rPr>
                <w:rFonts w:ascii="Calibri" w:eastAsia="Calibri" w:hAnsi="Calibri" w:cs="Calibri"/>
                <w:color w:val="000000"/>
                <w:sz w:val="21"/>
              </w:rPr>
              <w:t>Net impairment losses on financial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D4E7994"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69AEBF9" w14:textId="77777777" w:rsidR="008C275C" w:rsidRDefault="008C275C" w:rsidP="001B288A">
            <w:pPr>
              <w:keepNext/>
              <w:spacing w:before="48" w:after="30"/>
              <w:jc w:val="right"/>
            </w:pPr>
            <w:r>
              <w:rPr>
                <w:rFonts w:ascii="Calibri" w:eastAsia="Calibri" w:hAnsi="Calibri" w:cs="Calibri"/>
                <w:color w:val="000000"/>
                <w:sz w:val="21"/>
              </w:rPr>
              <w:t>-3,974</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05B74B1"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F987DD8" w14:textId="77777777" w:rsidR="008C275C" w:rsidRDefault="008C275C" w:rsidP="001B288A">
            <w:pPr>
              <w:keepNext/>
              <w:spacing w:before="48" w:after="30"/>
              <w:jc w:val="right"/>
            </w:pPr>
            <w:r>
              <w:rPr>
                <w:rFonts w:ascii="Calibri" w:eastAsia="Calibri" w:hAnsi="Calibri" w:cs="Calibri"/>
                <w:color w:val="000000"/>
                <w:sz w:val="21"/>
              </w:rPr>
              <w:t>-1,722</w:t>
            </w:r>
          </w:p>
        </w:tc>
      </w:tr>
      <w:tr w:rsidR="008C275C" w14:paraId="7DB63A55"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19E42254" w14:textId="77777777" w:rsidR="008C275C" w:rsidRDefault="008C275C" w:rsidP="001B288A">
            <w:pPr>
              <w:keepNext/>
            </w:pPr>
            <w:r>
              <w:rPr>
                <w:rFonts w:ascii="Calibri" w:eastAsia="Calibri" w:hAnsi="Calibri" w:cs="Calibri"/>
                <w:color w:val="000000"/>
                <w:sz w:val="21"/>
              </w:rPr>
              <w:t>Other operating expenses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0059F58"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2BEE0F6" w14:textId="77777777" w:rsidR="008C275C" w:rsidRDefault="008C275C" w:rsidP="001B288A">
            <w:pPr>
              <w:keepNext/>
              <w:spacing w:before="48" w:after="30"/>
              <w:jc w:val="right"/>
            </w:pPr>
            <w:r>
              <w:rPr>
                <w:rFonts w:ascii="Calibri" w:eastAsia="Calibri" w:hAnsi="Calibri" w:cs="Calibri"/>
                <w:color w:val="000000"/>
                <w:sz w:val="21"/>
              </w:rPr>
              <w:t>-2,166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FC93014"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44672FD" w14:textId="77777777" w:rsidR="008C275C" w:rsidRDefault="008C275C" w:rsidP="001B288A">
            <w:pPr>
              <w:keepNext/>
              <w:spacing w:before="48" w:after="30"/>
              <w:jc w:val="right"/>
            </w:pPr>
            <w:r>
              <w:rPr>
                <w:rFonts w:ascii="Calibri" w:eastAsia="Calibri" w:hAnsi="Calibri" w:cs="Calibri"/>
                <w:color w:val="000000"/>
                <w:sz w:val="21"/>
              </w:rPr>
              <w:t>-831</w:t>
            </w:r>
          </w:p>
        </w:tc>
      </w:tr>
      <w:tr w:rsidR="008C275C" w14:paraId="0F6C288E" w14:textId="77777777" w:rsidTr="00CD0B6A">
        <w:trPr>
          <w:cantSplit/>
          <w:trHeight w:hRule="exact" w:val="306"/>
        </w:trPr>
        <w:tc>
          <w:tcPr>
            <w:tcW w:w="6146"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52E8DAB2" w14:textId="77777777" w:rsidR="008C275C" w:rsidRDefault="008C275C" w:rsidP="001B288A">
            <w:pPr>
              <w:keepNext/>
            </w:pPr>
            <w:r>
              <w:rPr>
                <w:rFonts w:ascii="Calibri" w:eastAsia="Calibri" w:hAnsi="Calibri" w:cs="Calibri"/>
                <w:b/>
                <w:color w:val="000000"/>
                <w:sz w:val="21"/>
              </w:rPr>
              <w:t>Operating profit before impairment losses on goodwill</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A1AB668" w14:textId="77777777" w:rsidR="008C275C" w:rsidRDefault="008C275C" w:rsidP="001B288A">
            <w:pPr>
              <w:keepNext/>
              <w:spacing w:before="48" w:after="30"/>
              <w:jc w:val="right"/>
            </w:pPr>
          </w:p>
        </w:tc>
        <w:tc>
          <w:tcPr>
            <w:tcW w:w="1682"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7DD48227" w14:textId="77777777" w:rsidR="008C275C" w:rsidRDefault="008C275C" w:rsidP="001B288A">
            <w:pPr>
              <w:keepNext/>
              <w:spacing w:before="48" w:after="30"/>
              <w:jc w:val="right"/>
            </w:pPr>
            <w:r>
              <w:rPr>
                <w:rFonts w:ascii="Calibri" w:eastAsia="Calibri" w:hAnsi="Calibri" w:cs="Calibri"/>
                <w:b/>
                <w:color w:val="000000"/>
                <w:sz w:val="21"/>
              </w:rPr>
              <w:t>177,630</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C921238" w14:textId="77777777" w:rsidR="008C275C" w:rsidRDefault="008C275C" w:rsidP="001B288A">
            <w:pPr>
              <w:keepNext/>
              <w:spacing w:before="48" w:after="30"/>
              <w:jc w:val="right"/>
            </w:pPr>
          </w:p>
        </w:tc>
        <w:tc>
          <w:tcPr>
            <w:tcW w:w="1685"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6AD1D884" w14:textId="77777777" w:rsidR="008C275C" w:rsidRDefault="008C275C" w:rsidP="001B288A">
            <w:pPr>
              <w:keepNext/>
              <w:spacing w:before="48" w:after="30"/>
              <w:jc w:val="right"/>
            </w:pPr>
            <w:r>
              <w:rPr>
                <w:rFonts w:ascii="Calibri" w:eastAsia="Calibri" w:hAnsi="Calibri" w:cs="Calibri"/>
                <w:b/>
                <w:color w:val="000000"/>
                <w:sz w:val="21"/>
              </w:rPr>
              <w:t>138,728</w:t>
            </w:r>
          </w:p>
        </w:tc>
      </w:tr>
      <w:tr w:rsidR="008C275C" w14:paraId="63C55B92"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435C98F1" w14:textId="77777777" w:rsidR="008C275C" w:rsidRDefault="008C275C" w:rsidP="001B288A">
            <w:pPr>
              <w:keepNext/>
            </w:pPr>
            <w:r>
              <w:rPr>
                <w:rFonts w:ascii="Calibri" w:eastAsia="Calibri" w:hAnsi="Calibri" w:cs="Calibri"/>
                <w:color w:val="000000"/>
                <w:sz w:val="21"/>
              </w:rPr>
              <w:t>Impairment losses on goodwill</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26428B8"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77B0C82" w14:textId="77777777" w:rsidR="008C275C" w:rsidRDefault="008C275C" w:rsidP="001B288A">
            <w:pPr>
              <w:keepNext/>
              <w:spacing w:before="48" w:after="30"/>
              <w:jc w:val="right"/>
            </w:pPr>
            <w:r>
              <w:rPr>
                <w:rFonts w:ascii="Calibri" w:eastAsia="Calibri" w:hAnsi="Calibri" w:cs="Calibri"/>
                <w:color w:val="000000"/>
                <w:sz w:val="21"/>
              </w:rPr>
              <w:t>-21,799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69BC61E"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10C6682" w14:textId="77777777" w:rsidR="008C275C" w:rsidRDefault="008C275C" w:rsidP="001B288A">
            <w:pPr>
              <w:keepNext/>
              <w:spacing w:before="48" w:after="30"/>
              <w:jc w:val="right"/>
            </w:pPr>
            <w:r>
              <w:rPr>
                <w:rFonts w:ascii="Calibri" w:eastAsia="Calibri" w:hAnsi="Calibri" w:cs="Calibri"/>
                <w:color w:val="000000"/>
                <w:sz w:val="21"/>
              </w:rPr>
              <w:t>-</w:t>
            </w:r>
          </w:p>
        </w:tc>
      </w:tr>
      <w:tr w:rsidR="008C275C" w14:paraId="3A51759C" w14:textId="77777777" w:rsidTr="00CD0B6A">
        <w:trPr>
          <w:cantSplit/>
          <w:trHeight w:hRule="exact" w:val="306"/>
        </w:trPr>
        <w:tc>
          <w:tcPr>
            <w:tcW w:w="6146"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2556E1C8" w14:textId="77777777" w:rsidR="008C275C" w:rsidRDefault="008C275C" w:rsidP="001B288A">
            <w:pPr>
              <w:keepNext/>
            </w:pPr>
            <w:r>
              <w:rPr>
                <w:rFonts w:ascii="Calibri" w:eastAsia="Calibri" w:hAnsi="Calibri" w:cs="Calibri"/>
                <w:b/>
                <w:color w:val="000000"/>
                <w:sz w:val="21"/>
              </w:rPr>
              <w:t>Operating profit</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1208529" w14:textId="77777777" w:rsidR="008C275C" w:rsidRDefault="008C275C" w:rsidP="001B288A">
            <w:pPr>
              <w:keepNext/>
              <w:spacing w:before="48" w:after="30"/>
              <w:jc w:val="right"/>
            </w:pPr>
          </w:p>
        </w:tc>
        <w:tc>
          <w:tcPr>
            <w:tcW w:w="1682"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27A11EA8" w14:textId="77777777" w:rsidR="008C275C" w:rsidRDefault="008C275C" w:rsidP="001B288A">
            <w:pPr>
              <w:keepNext/>
              <w:spacing w:before="48" w:after="30"/>
              <w:jc w:val="right"/>
            </w:pPr>
            <w:r>
              <w:rPr>
                <w:rFonts w:ascii="Calibri" w:eastAsia="Calibri" w:hAnsi="Calibri" w:cs="Calibri"/>
                <w:b/>
                <w:color w:val="000000"/>
                <w:sz w:val="21"/>
              </w:rPr>
              <w:t>155,831</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B21E5AD" w14:textId="77777777" w:rsidR="008C275C" w:rsidRDefault="008C275C" w:rsidP="001B288A">
            <w:pPr>
              <w:keepNext/>
              <w:spacing w:before="48" w:after="30"/>
              <w:jc w:val="right"/>
            </w:pPr>
          </w:p>
        </w:tc>
        <w:tc>
          <w:tcPr>
            <w:tcW w:w="1685"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0E75051A" w14:textId="77777777" w:rsidR="008C275C" w:rsidRDefault="008C275C" w:rsidP="001B288A">
            <w:pPr>
              <w:keepNext/>
              <w:spacing w:before="48" w:after="30"/>
              <w:jc w:val="right"/>
            </w:pPr>
            <w:r>
              <w:rPr>
                <w:rFonts w:ascii="Calibri" w:eastAsia="Calibri" w:hAnsi="Calibri" w:cs="Calibri"/>
                <w:b/>
                <w:color w:val="000000"/>
                <w:sz w:val="21"/>
              </w:rPr>
              <w:t>138,728</w:t>
            </w:r>
          </w:p>
        </w:tc>
      </w:tr>
      <w:tr w:rsidR="008C275C" w14:paraId="1C1A1843"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6219C03B" w14:textId="77777777" w:rsidR="008C275C" w:rsidRDefault="008C275C" w:rsidP="001B288A">
            <w:pPr>
              <w:keepNext/>
            </w:pPr>
            <w:r>
              <w:rPr>
                <w:rFonts w:ascii="Calibri" w:eastAsia="Calibri" w:hAnsi="Calibri" w:cs="Calibri"/>
                <w:color w:val="000000"/>
                <w:sz w:val="21"/>
              </w:rPr>
              <w:t>Finance income</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0F07A1E"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4898CD7" w14:textId="77777777" w:rsidR="008C275C" w:rsidRDefault="008C275C" w:rsidP="001B288A">
            <w:pPr>
              <w:keepNext/>
              <w:spacing w:before="48" w:after="30"/>
              <w:jc w:val="right"/>
            </w:pPr>
            <w:r>
              <w:rPr>
                <w:rFonts w:ascii="Calibri" w:eastAsia="Calibri" w:hAnsi="Calibri" w:cs="Calibri"/>
                <w:color w:val="000000"/>
                <w:sz w:val="21"/>
              </w:rPr>
              <w:t>7,567</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BECF9EF" w14:textId="77777777" w:rsidR="008C275C" w:rsidRDefault="008C275C" w:rsidP="001B288A">
            <w:pPr>
              <w:keepNext/>
              <w:spacing w:before="48" w:after="30"/>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D3D19F8" w14:textId="77777777" w:rsidR="008C275C" w:rsidRDefault="008C275C" w:rsidP="001B288A">
            <w:pPr>
              <w:keepNext/>
              <w:spacing w:before="48" w:after="30"/>
              <w:jc w:val="right"/>
            </w:pPr>
            <w:r>
              <w:rPr>
                <w:rFonts w:ascii="Calibri" w:eastAsia="Calibri" w:hAnsi="Calibri" w:cs="Calibri"/>
                <w:color w:val="000000"/>
                <w:sz w:val="21"/>
              </w:rPr>
              <w:t>4,255</w:t>
            </w:r>
          </w:p>
        </w:tc>
      </w:tr>
      <w:tr w:rsidR="008C275C" w14:paraId="3311E632"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30217BA9" w14:textId="77777777" w:rsidR="008C275C" w:rsidRDefault="008C275C" w:rsidP="001B288A">
            <w:pPr>
              <w:keepNext/>
            </w:pPr>
            <w:r>
              <w:rPr>
                <w:rFonts w:ascii="Calibri" w:eastAsia="Calibri" w:hAnsi="Calibri" w:cs="Calibri"/>
                <w:color w:val="000000"/>
                <w:sz w:val="21"/>
              </w:rPr>
              <w:t>Finance expenses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F91DA83" w14:textId="77777777" w:rsidR="008C275C" w:rsidRDefault="008C275C" w:rsidP="001B288A">
            <w:pPr>
              <w:keepNext/>
              <w:spacing w:before="48" w:after="30"/>
              <w:jc w:val="righ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9789E71" w14:textId="77777777" w:rsidR="008C275C" w:rsidRDefault="008C275C" w:rsidP="001B288A">
            <w:pPr>
              <w:keepNext/>
              <w:spacing w:before="48" w:after="30"/>
              <w:jc w:val="right"/>
            </w:pPr>
            <w:r>
              <w:rPr>
                <w:rFonts w:ascii="Calibri" w:eastAsia="Calibri" w:hAnsi="Calibri" w:cs="Calibri"/>
                <w:color w:val="000000"/>
                <w:sz w:val="21"/>
              </w:rPr>
              <w:t>-41,969</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363407F" w14:textId="77777777" w:rsidR="008C275C" w:rsidRDefault="008C275C" w:rsidP="001B288A">
            <w:pPr>
              <w:keepNext/>
              <w:spacing w:before="48" w:after="30"/>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1AE341C" w14:textId="77777777" w:rsidR="008C275C" w:rsidRDefault="008C275C" w:rsidP="001B288A">
            <w:pPr>
              <w:keepNext/>
              <w:spacing w:before="48" w:after="30"/>
              <w:jc w:val="right"/>
            </w:pPr>
            <w:r>
              <w:rPr>
                <w:rFonts w:ascii="Calibri" w:eastAsia="Calibri" w:hAnsi="Calibri" w:cs="Calibri"/>
                <w:color w:val="000000"/>
                <w:sz w:val="21"/>
              </w:rPr>
              <w:t>-37,835</w:t>
            </w:r>
          </w:p>
        </w:tc>
      </w:tr>
      <w:tr w:rsidR="008C275C" w14:paraId="55869461"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50B8E5B4" w14:textId="77777777" w:rsidR="008C275C" w:rsidRDefault="008C275C" w:rsidP="001B288A">
            <w:pPr>
              <w:keepNext/>
            </w:pPr>
            <w:r>
              <w:rPr>
                <w:rFonts w:ascii="Calibri" w:eastAsia="Calibri" w:hAnsi="Calibri" w:cs="Calibri"/>
                <w:color w:val="000000"/>
                <w:sz w:val="21"/>
              </w:rPr>
              <w:t>Loss from foreign exchange differences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051068D"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F753919" w14:textId="77777777" w:rsidR="008C275C" w:rsidRDefault="008C275C" w:rsidP="001B288A">
            <w:pPr>
              <w:keepNext/>
              <w:spacing w:before="48" w:after="30"/>
              <w:jc w:val="right"/>
            </w:pPr>
            <w:r>
              <w:rPr>
                <w:rFonts w:ascii="Calibri" w:eastAsia="Calibri" w:hAnsi="Calibri" w:cs="Calibri"/>
                <w:color w:val="000000"/>
                <w:sz w:val="21"/>
              </w:rPr>
              <w:t>-12,416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F1C40CE"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9EF1F0A" w14:textId="77777777" w:rsidR="008C275C" w:rsidRDefault="008C275C" w:rsidP="001B288A">
            <w:pPr>
              <w:keepNext/>
              <w:spacing w:before="48" w:after="30"/>
              <w:jc w:val="right"/>
            </w:pPr>
            <w:r>
              <w:rPr>
                <w:rFonts w:ascii="Calibri" w:eastAsia="Calibri" w:hAnsi="Calibri" w:cs="Calibri"/>
                <w:color w:val="000000"/>
                <w:sz w:val="21"/>
              </w:rPr>
              <w:t>-73</w:t>
            </w:r>
          </w:p>
        </w:tc>
      </w:tr>
      <w:tr w:rsidR="008C275C" w14:paraId="2F396F54"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26F72D99" w14:textId="77777777" w:rsidR="008C275C" w:rsidRDefault="008C275C" w:rsidP="001B288A">
            <w:pPr>
              <w:keepNext/>
            </w:pPr>
            <w:r>
              <w:rPr>
                <w:rFonts w:ascii="Calibri" w:eastAsia="Calibri" w:hAnsi="Calibri" w:cs="Calibri"/>
                <w:color w:val="000000"/>
                <w:sz w:val="21"/>
              </w:rPr>
              <w:t>Gain on net monetary position in hyperinflationary economies</w:t>
            </w:r>
          </w:p>
        </w:tc>
        <w:tc>
          <w:tcPr>
            <w:tcW w:w="136" w:type="dxa"/>
            <w:tcBorders>
              <w:top w:val="nil"/>
              <w:left w:val="nil"/>
              <w:bottom w:val="nil"/>
              <w:right w:val="nil"/>
            </w:tcBorders>
            <w:shd w:val="clear" w:color="auto" w:fill="FFFFFF"/>
            <w:tcMar>
              <w:top w:w="0" w:type="dxa"/>
              <w:left w:w="0" w:type="dxa"/>
              <w:bottom w:w="0" w:type="dxa"/>
              <w:right w:w="0" w:type="dxa"/>
            </w:tcMar>
            <w:vAlign w:val="bottom"/>
          </w:tcPr>
          <w:p w14:paraId="739D10AF" w14:textId="77777777" w:rsidR="008C275C" w:rsidRDefault="008C275C" w:rsidP="001B288A">
            <w:pPr>
              <w:keepNex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B95FC10" w14:textId="77777777" w:rsidR="008C275C" w:rsidRDefault="008C275C" w:rsidP="001B288A">
            <w:pPr>
              <w:keepNext/>
              <w:spacing w:before="48" w:after="30"/>
              <w:jc w:val="right"/>
            </w:pPr>
            <w:r>
              <w:rPr>
                <w:rFonts w:ascii="Calibri" w:eastAsia="Calibri" w:hAnsi="Calibri" w:cs="Calibri"/>
                <w:color w:val="000000"/>
                <w:sz w:val="21"/>
              </w:rPr>
              <w:t>26,307</w:t>
            </w:r>
          </w:p>
        </w:tc>
        <w:tc>
          <w:tcPr>
            <w:tcW w:w="136" w:type="dxa"/>
            <w:tcBorders>
              <w:top w:val="nil"/>
              <w:left w:val="nil"/>
              <w:bottom w:val="nil"/>
              <w:right w:val="nil"/>
            </w:tcBorders>
            <w:tcMar>
              <w:top w:w="0" w:type="dxa"/>
              <w:left w:w="53" w:type="dxa"/>
              <w:bottom w:w="0" w:type="dxa"/>
              <w:right w:w="53" w:type="dxa"/>
            </w:tcMar>
            <w:vAlign w:val="bottom"/>
          </w:tcPr>
          <w:p w14:paraId="73F3E0A1" w14:textId="77777777" w:rsidR="008C275C" w:rsidRDefault="008C275C" w:rsidP="001B288A">
            <w:pPr>
              <w:keepNext/>
              <w:spacing w:before="48" w:after="30"/>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DFD7333" w14:textId="77777777" w:rsidR="008C275C" w:rsidRDefault="008C275C" w:rsidP="001B288A">
            <w:pPr>
              <w:keepNext/>
              <w:spacing w:before="48" w:after="30"/>
              <w:jc w:val="right"/>
            </w:pPr>
            <w:r>
              <w:rPr>
                <w:rFonts w:ascii="Calibri" w:eastAsia="Calibri" w:hAnsi="Calibri" w:cs="Calibri"/>
                <w:color w:val="000000"/>
                <w:sz w:val="21"/>
              </w:rPr>
              <w:t>-</w:t>
            </w:r>
          </w:p>
        </w:tc>
      </w:tr>
      <w:tr w:rsidR="008C275C" w14:paraId="4BDA4020"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4970B079" w14:textId="77777777" w:rsidR="008C275C" w:rsidRDefault="008C275C" w:rsidP="001B288A">
            <w:pPr>
              <w:keepNext/>
            </w:pPr>
            <w:r>
              <w:rPr>
                <w:rFonts w:ascii="Calibri" w:eastAsia="Calibri" w:hAnsi="Calibri" w:cs="Calibri"/>
                <w:i/>
                <w:color w:val="000000"/>
                <w:sz w:val="21"/>
              </w:rPr>
              <w:t xml:space="preserve">         Net finance costs</w:t>
            </w:r>
          </w:p>
        </w:tc>
        <w:tc>
          <w:tcPr>
            <w:tcW w:w="136" w:type="dxa"/>
            <w:tcBorders>
              <w:top w:val="nil"/>
              <w:left w:val="nil"/>
              <w:bottom w:val="nil"/>
              <w:right w:val="nil"/>
            </w:tcBorders>
            <w:shd w:val="clear" w:color="auto" w:fill="FFFFFF"/>
            <w:tcMar>
              <w:top w:w="0" w:type="dxa"/>
              <w:left w:w="0" w:type="dxa"/>
              <w:bottom w:w="0" w:type="dxa"/>
              <w:right w:w="0" w:type="dxa"/>
            </w:tcMar>
            <w:vAlign w:val="bottom"/>
          </w:tcPr>
          <w:p w14:paraId="032EEC53" w14:textId="77777777" w:rsidR="008C275C" w:rsidRDefault="008C275C" w:rsidP="001B288A">
            <w:pPr>
              <w:keepNext/>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A2CE1E0" w14:textId="77777777" w:rsidR="008C275C" w:rsidRDefault="008C275C" w:rsidP="001B288A">
            <w:pPr>
              <w:keepNext/>
              <w:spacing w:before="48" w:after="30"/>
              <w:jc w:val="right"/>
            </w:pPr>
            <w:r>
              <w:rPr>
                <w:rFonts w:ascii="Calibri" w:eastAsia="Calibri" w:hAnsi="Calibri" w:cs="Calibri"/>
                <w:i/>
                <w:color w:val="000000"/>
                <w:sz w:val="21"/>
              </w:rPr>
              <w:t>-20,511</w:t>
            </w:r>
          </w:p>
        </w:tc>
        <w:tc>
          <w:tcPr>
            <w:tcW w:w="136" w:type="dxa"/>
            <w:tcBorders>
              <w:top w:val="nil"/>
              <w:left w:val="nil"/>
              <w:bottom w:val="nil"/>
              <w:right w:val="nil"/>
            </w:tcBorders>
            <w:tcMar>
              <w:top w:w="0" w:type="dxa"/>
              <w:left w:w="53" w:type="dxa"/>
              <w:bottom w:w="0" w:type="dxa"/>
              <w:right w:w="53" w:type="dxa"/>
            </w:tcMar>
            <w:vAlign w:val="bottom"/>
          </w:tcPr>
          <w:p w14:paraId="66E23148" w14:textId="77777777" w:rsidR="008C275C" w:rsidRDefault="008C275C" w:rsidP="001B288A">
            <w:pPr>
              <w:keepNext/>
              <w:spacing w:before="48" w:after="30"/>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E897F03" w14:textId="77777777" w:rsidR="008C275C" w:rsidRDefault="008C275C" w:rsidP="001B288A">
            <w:pPr>
              <w:keepNext/>
              <w:spacing w:before="48" w:after="30"/>
              <w:jc w:val="right"/>
            </w:pPr>
            <w:r>
              <w:rPr>
                <w:rFonts w:ascii="Calibri" w:eastAsia="Calibri" w:hAnsi="Calibri" w:cs="Calibri"/>
                <w:i/>
                <w:color w:val="000000"/>
                <w:sz w:val="21"/>
              </w:rPr>
              <w:t>-33,653</w:t>
            </w:r>
          </w:p>
        </w:tc>
      </w:tr>
      <w:tr w:rsidR="008C275C" w14:paraId="7C9547B9"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0EDAE1A5" w14:textId="77777777" w:rsidR="008C275C" w:rsidRDefault="008C275C" w:rsidP="001B288A">
            <w:pPr>
              <w:keepNext/>
            </w:pPr>
            <w:r>
              <w:rPr>
                <w:rFonts w:ascii="Calibri" w:eastAsia="Calibri" w:hAnsi="Calibri" w:cs="Calibri"/>
                <w:color w:val="000000"/>
                <w:sz w:val="21"/>
              </w:rPr>
              <w:t>Share of profit of associates and joint ventures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E0F3E7F"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9DD79E3" w14:textId="77777777" w:rsidR="008C275C" w:rsidRDefault="008C275C" w:rsidP="001B288A">
            <w:pPr>
              <w:keepNext/>
              <w:spacing w:before="48" w:after="30"/>
              <w:jc w:val="right"/>
            </w:pPr>
            <w:r>
              <w:rPr>
                <w:rFonts w:ascii="Calibri" w:eastAsia="Calibri" w:hAnsi="Calibri" w:cs="Calibri"/>
                <w:color w:val="000000"/>
                <w:sz w:val="21"/>
              </w:rPr>
              <w:t>1,876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099B4BC"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3B75DC7" w14:textId="77777777" w:rsidR="008C275C" w:rsidRDefault="008C275C" w:rsidP="001B288A">
            <w:pPr>
              <w:keepNext/>
              <w:spacing w:before="48" w:after="30"/>
              <w:jc w:val="right"/>
            </w:pPr>
            <w:r>
              <w:rPr>
                <w:rFonts w:ascii="Calibri" w:eastAsia="Calibri" w:hAnsi="Calibri" w:cs="Calibri"/>
                <w:color w:val="000000"/>
                <w:sz w:val="21"/>
              </w:rPr>
              <w:t>3,291</w:t>
            </w:r>
          </w:p>
        </w:tc>
      </w:tr>
      <w:tr w:rsidR="008C275C" w14:paraId="6094B343"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05ED7966" w14:textId="77777777" w:rsidR="008C275C" w:rsidRDefault="008C275C" w:rsidP="001B288A">
            <w:pPr>
              <w:keepNext/>
            </w:pPr>
            <w:r>
              <w:rPr>
                <w:rFonts w:ascii="Calibri" w:eastAsia="Calibri" w:hAnsi="Calibri" w:cs="Calibri"/>
                <w:b/>
                <w:color w:val="000000"/>
                <w:sz w:val="21"/>
              </w:rPr>
              <w:t>Profit before taxes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256F4D5"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CFB3A63" w14:textId="77777777" w:rsidR="008C275C" w:rsidRDefault="008C275C" w:rsidP="001B288A">
            <w:pPr>
              <w:keepNext/>
              <w:spacing w:before="48" w:after="30"/>
              <w:jc w:val="right"/>
            </w:pPr>
            <w:r>
              <w:rPr>
                <w:rFonts w:ascii="Calibri" w:eastAsia="Calibri" w:hAnsi="Calibri" w:cs="Calibri"/>
                <w:b/>
                <w:color w:val="000000"/>
                <w:sz w:val="21"/>
              </w:rPr>
              <w:t>137,196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2CFBCBD9"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2C8132E" w14:textId="77777777" w:rsidR="008C275C" w:rsidRDefault="008C275C" w:rsidP="001B288A">
            <w:pPr>
              <w:keepNext/>
              <w:spacing w:before="48" w:after="30"/>
              <w:jc w:val="right"/>
            </w:pPr>
            <w:r>
              <w:rPr>
                <w:rFonts w:ascii="Calibri" w:eastAsia="Calibri" w:hAnsi="Calibri" w:cs="Calibri"/>
                <w:b/>
                <w:color w:val="000000"/>
                <w:sz w:val="21"/>
              </w:rPr>
              <w:t>108,366</w:t>
            </w:r>
          </w:p>
        </w:tc>
      </w:tr>
      <w:tr w:rsidR="008C275C" w14:paraId="3E629794"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43ADEC3A" w14:textId="77777777" w:rsidR="008C275C" w:rsidRDefault="008C275C" w:rsidP="001B288A">
            <w:pPr>
              <w:keepNext/>
            </w:pPr>
            <w:r>
              <w:rPr>
                <w:rFonts w:ascii="Calibri" w:eastAsia="Calibri" w:hAnsi="Calibri" w:cs="Calibri"/>
                <w:color w:val="000000"/>
                <w:sz w:val="21"/>
              </w:rPr>
              <w:t xml:space="preserve">Income tax </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24C5394"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52EF476" w14:textId="77777777" w:rsidR="008C275C" w:rsidRDefault="008C275C" w:rsidP="001B288A">
            <w:pPr>
              <w:keepNext/>
              <w:spacing w:before="48" w:after="30"/>
              <w:jc w:val="right"/>
            </w:pPr>
            <w:r>
              <w:rPr>
                <w:rFonts w:ascii="Calibri" w:eastAsia="Calibri" w:hAnsi="Calibri" w:cs="Calibri"/>
                <w:color w:val="000000"/>
                <w:sz w:val="21"/>
              </w:rPr>
              <w:t>-26,715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5652657"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47CAF6D" w14:textId="77777777" w:rsidR="008C275C" w:rsidRDefault="008C275C" w:rsidP="001B288A">
            <w:pPr>
              <w:keepNext/>
              <w:spacing w:before="48" w:after="30"/>
              <w:jc w:val="right"/>
            </w:pPr>
            <w:r>
              <w:rPr>
                <w:rFonts w:ascii="Calibri" w:eastAsia="Calibri" w:hAnsi="Calibri" w:cs="Calibri"/>
                <w:color w:val="000000"/>
                <w:sz w:val="21"/>
              </w:rPr>
              <w:t>-16,811</w:t>
            </w:r>
          </w:p>
        </w:tc>
      </w:tr>
      <w:tr w:rsidR="008C275C" w14:paraId="4345ACD6" w14:textId="77777777" w:rsidTr="00CD0B6A">
        <w:trPr>
          <w:cantSplit/>
          <w:trHeight w:hRule="exact" w:val="306"/>
        </w:trPr>
        <w:tc>
          <w:tcPr>
            <w:tcW w:w="6146" w:type="dxa"/>
            <w:tcBorders>
              <w:top w:val="single" w:sz="2" w:space="0" w:color="000000"/>
              <w:left w:val="nil"/>
              <w:bottom w:val="single" w:sz="8" w:space="0" w:color="4F81BD"/>
              <w:right w:val="nil"/>
            </w:tcBorders>
            <w:shd w:val="clear" w:color="auto" w:fill="FFFFFF"/>
            <w:tcMar>
              <w:top w:w="0" w:type="dxa"/>
              <w:left w:w="53" w:type="dxa"/>
              <w:bottom w:w="0" w:type="dxa"/>
              <w:right w:w="53" w:type="dxa"/>
            </w:tcMar>
            <w:vAlign w:val="center"/>
          </w:tcPr>
          <w:p w14:paraId="675DDE55" w14:textId="77777777" w:rsidR="008C275C" w:rsidRDefault="008C275C" w:rsidP="001B288A">
            <w:pPr>
              <w:keepNext/>
            </w:pPr>
            <w:r>
              <w:rPr>
                <w:rFonts w:ascii="Calibri" w:eastAsia="Calibri" w:hAnsi="Calibri" w:cs="Calibri"/>
                <w:b/>
                <w:color w:val="000000"/>
                <w:sz w:val="21"/>
              </w:rPr>
              <w:t>Profit after taxes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17274D5B" w14:textId="77777777" w:rsidR="008C275C" w:rsidRDefault="008C275C" w:rsidP="001B288A">
            <w:pPr>
              <w:keepNext/>
              <w:spacing w:before="48" w:after="30"/>
            </w:pPr>
          </w:p>
        </w:tc>
        <w:tc>
          <w:tcPr>
            <w:tcW w:w="1682"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59CF53CE" w14:textId="77777777" w:rsidR="008C275C" w:rsidRDefault="008C275C" w:rsidP="001B288A">
            <w:pPr>
              <w:keepNext/>
              <w:spacing w:before="48" w:after="30"/>
              <w:jc w:val="right"/>
            </w:pPr>
            <w:r>
              <w:rPr>
                <w:rFonts w:ascii="Calibri" w:eastAsia="Calibri" w:hAnsi="Calibri" w:cs="Calibri"/>
                <w:b/>
                <w:color w:val="000000"/>
                <w:sz w:val="21"/>
              </w:rPr>
              <w:t>110,481</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1CEE513" w14:textId="77777777" w:rsidR="008C275C" w:rsidRDefault="008C275C" w:rsidP="001B288A">
            <w:pPr>
              <w:keepNext/>
              <w:spacing w:before="48" w:after="30"/>
            </w:pPr>
          </w:p>
        </w:tc>
        <w:tc>
          <w:tcPr>
            <w:tcW w:w="1685" w:type="dxa"/>
            <w:tcBorders>
              <w:top w:val="single" w:sz="2" w:space="0" w:color="000000"/>
              <w:left w:val="nil"/>
              <w:bottom w:val="single" w:sz="8" w:space="0" w:color="4F81BD"/>
              <w:right w:val="nil"/>
            </w:tcBorders>
            <w:shd w:val="clear" w:color="auto" w:fill="FFFFFF"/>
            <w:tcMar>
              <w:top w:w="0" w:type="dxa"/>
              <w:left w:w="0" w:type="dxa"/>
              <w:bottom w:w="0" w:type="dxa"/>
              <w:right w:w="53" w:type="dxa"/>
            </w:tcMar>
            <w:vAlign w:val="bottom"/>
          </w:tcPr>
          <w:p w14:paraId="7936B834" w14:textId="77777777" w:rsidR="008C275C" w:rsidRDefault="008C275C" w:rsidP="001B288A">
            <w:pPr>
              <w:keepNext/>
              <w:spacing w:before="48" w:after="30"/>
              <w:jc w:val="right"/>
            </w:pPr>
            <w:r>
              <w:rPr>
                <w:rFonts w:ascii="Calibri" w:eastAsia="Calibri" w:hAnsi="Calibri" w:cs="Calibri"/>
                <w:b/>
                <w:color w:val="000000"/>
                <w:sz w:val="21"/>
              </w:rPr>
              <w:t>91,555</w:t>
            </w:r>
          </w:p>
        </w:tc>
      </w:tr>
      <w:tr w:rsidR="008C275C" w14:paraId="00C745F3" w14:textId="77777777" w:rsidTr="00CD0B6A">
        <w:trPr>
          <w:cantSplit/>
          <w:trHeight w:hRule="exact" w:val="306"/>
        </w:trPr>
        <w:tc>
          <w:tcPr>
            <w:tcW w:w="6146" w:type="dxa"/>
            <w:tcBorders>
              <w:top w:val="single" w:sz="8" w:space="0" w:color="4F81BD"/>
              <w:left w:val="nil"/>
              <w:bottom w:val="nil"/>
              <w:right w:val="nil"/>
            </w:tcBorders>
            <w:shd w:val="clear" w:color="auto" w:fill="FFFFFF"/>
            <w:tcMar>
              <w:top w:w="0" w:type="dxa"/>
              <w:left w:w="53" w:type="dxa"/>
              <w:bottom w:w="0" w:type="dxa"/>
              <w:right w:w="53" w:type="dxa"/>
            </w:tcMar>
            <w:vAlign w:val="center"/>
          </w:tcPr>
          <w:p w14:paraId="63046794"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center"/>
          </w:tcPr>
          <w:p w14:paraId="3B0690CD" w14:textId="77777777" w:rsidR="008C275C" w:rsidRDefault="008C275C" w:rsidP="001B288A">
            <w:pPr>
              <w:keepNext/>
            </w:pPr>
          </w:p>
        </w:tc>
        <w:tc>
          <w:tcPr>
            <w:tcW w:w="1682" w:type="dxa"/>
            <w:tcBorders>
              <w:top w:val="single" w:sz="8" w:space="0" w:color="4F81BD"/>
              <w:left w:val="nil"/>
              <w:bottom w:val="nil"/>
              <w:right w:val="nil"/>
            </w:tcBorders>
            <w:shd w:val="clear" w:color="auto" w:fill="FFFFFF"/>
            <w:tcMar>
              <w:top w:w="0" w:type="dxa"/>
              <w:left w:w="53" w:type="dxa"/>
              <w:bottom w:w="0" w:type="dxa"/>
              <w:right w:w="53" w:type="dxa"/>
            </w:tcMar>
            <w:vAlign w:val="center"/>
          </w:tcPr>
          <w:p w14:paraId="05EDE1DE"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center"/>
          </w:tcPr>
          <w:p w14:paraId="11FEA983" w14:textId="77777777" w:rsidR="008C275C" w:rsidRDefault="008C275C" w:rsidP="001B288A">
            <w:pPr>
              <w:keepNext/>
            </w:pPr>
          </w:p>
        </w:tc>
        <w:tc>
          <w:tcPr>
            <w:tcW w:w="1685" w:type="dxa"/>
            <w:tcBorders>
              <w:top w:val="single" w:sz="8" w:space="0" w:color="4F81BD"/>
              <w:left w:val="nil"/>
              <w:bottom w:val="nil"/>
              <w:right w:val="nil"/>
            </w:tcBorders>
            <w:shd w:val="clear" w:color="auto" w:fill="FFFFFF"/>
            <w:tcMar>
              <w:top w:w="0" w:type="dxa"/>
              <w:left w:w="53" w:type="dxa"/>
              <w:bottom w:w="0" w:type="dxa"/>
              <w:right w:w="53" w:type="dxa"/>
            </w:tcMar>
            <w:vAlign w:val="center"/>
          </w:tcPr>
          <w:p w14:paraId="71B9D257" w14:textId="77777777" w:rsidR="008C275C" w:rsidRDefault="008C275C" w:rsidP="001B288A">
            <w:pPr>
              <w:keepNext/>
            </w:pPr>
          </w:p>
        </w:tc>
      </w:tr>
      <w:tr w:rsidR="008C275C" w14:paraId="3AE9B9F7" w14:textId="77777777" w:rsidTr="00CD0B6A">
        <w:trPr>
          <w:cantSplit/>
          <w:trHeight w:hRule="exact" w:val="306"/>
        </w:trPr>
        <w:tc>
          <w:tcPr>
            <w:tcW w:w="6146" w:type="dxa"/>
            <w:tcBorders>
              <w:top w:val="nil"/>
              <w:left w:val="nil"/>
              <w:bottom w:val="single" w:sz="2" w:space="0" w:color="000000"/>
              <w:right w:val="nil"/>
            </w:tcBorders>
            <w:shd w:val="clear" w:color="auto" w:fill="FFFFFF"/>
            <w:tcMar>
              <w:top w:w="0" w:type="dxa"/>
              <w:left w:w="53" w:type="dxa"/>
              <w:bottom w:w="0" w:type="dxa"/>
              <w:right w:w="53" w:type="dxa"/>
            </w:tcMar>
            <w:vAlign w:val="center"/>
          </w:tcPr>
          <w:p w14:paraId="77D335F1" w14:textId="77777777" w:rsidR="008C275C" w:rsidRDefault="008C275C" w:rsidP="001B288A">
            <w:pPr>
              <w:keepNext/>
            </w:pPr>
            <w:r>
              <w:rPr>
                <w:rFonts w:ascii="Calibri" w:eastAsia="Calibri" w:hAnsi="Calibri" w:cs="Calibri"/>
                <w:b/>
                <w:color w:val="000000"/>
                <w:sz w:val="21"/>
                <w:u w:val="single"/>
              </w:rPr>
              <w:t>Attributable to:</w:t>
            </w:r>
          </w:p>
        </w:tc>
        <w:tc>
          <w:tcPr>
            <w:tcW w:w="136" w:type="dxa"/>
            <w:tcBorders>
              <w:top w:val="nil"/>
              <w:left w:val="nil"/>
              <w:bottom w:val="nil"/>
              <w:right w:val="nil"/>
            </w:tcBorders>
            <w:shd w:val="clear" w:color="auto" w:fill="FFFFFF"/>
            <w:tcMar>
              <w:top w:w="0" w:type="dxa"/>
              <w:left w:w="53" w:type="dxa"/>
              <w:bottom w:w="0" w:type="dxa"/>
              <w:right w:w="53" w:type="dxa"/>
            </w:tcMar>
            <w:vAlign w:val="center"/>
          </w:tcPr>
          <w:p w14:paraId="7CC9675E" w14:textId="77777777" w:rsidR="008C275C" w:rsidRDefault="008C275C" w:rsidP="001B288A">
            <w:pPr>
              <w:keepNext/>
            </w:pPr>
          </w:p>
        </w:tc>
        <w:tc>
          <w:tcPr>
            <w:tcW w:w="1682" w:type="dxa"/>
            <w:tcBorders>
              <w:top w:val="nil"/>
              <w:left w:val="nil"/>
              <w:bottom w:val="single" w:sz="2" w:space="0" w:color="000000"/>
              <w:right w:val="nil"/>
            </w:tcBorders>
            <w:shd w:val="clear" w:color="auto" w:fill="FFFFFF"/>
            <w:tcMar>
              <w:top w:w="0" w:type="dxa"/>
              <w:left w:w="53" w:type="dxa"/>
              <w:bottom w:w="0" w:type="dxa"/>
              <w:right w:w="53" w:type="dxa"/>
            </w:tcMar>
            <w:vAlign w:val="center"/>
          </w:tcPr>
          <w:p w14:paraId="558F8073"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center"/>
          </w:tcPr>
          <w:p w14:paraId="7D3FACFE" w14:textId="77777777" w:rsidR="008C275C" w:rsidRDefault="008C275C" w:rsidP="001B288A">
            <w:pPr>
              <w:keepNext/>
            </w:pPr>
          </w:p>
        </w:tc>
        <w:tc>
          <w:tcPr>
            <w:tcW w:w="1685" w:type="dxa"/>
            <w:tcBorders>
              <w:top w:val="nil"/>
              <w:left w:val="nil"/>
              <w:bottom w:val="single" w:sz="2" w:space="0" w:color="000000"/>
              <w:right w:val="nil"/>
            </w:tcBorders>
            <w:shd w:val="clear" w:color="auto" w:fill="FFFFFF"/>
            <w:tcMar>
              <w:top w:w="0" w:type="dxa"/>
              <w:left w:w="53" w:type="dxa"/>
              <w:bottom w:w="0" w:type="dxa"/>
              <w:right w:w="53" w:type="dxa"/>
            </w:tcMar>
            <w:vAlign w:val="center"/>
          </w:tcPr>
          <w:p w14:paraId="0EDC77B9" w14:textId="77777777" w:rsidR="008C275C" w:rsidRDefault="008C275C" w:rsidP="001B288A">
            <w:pPr>
              <w:keepNext/>
            </w:pPr>
          </w:p>
        </w:tc>
      </w:tr>
      <w:tr w:rsidR="008C275C" w14:paraId="2694BE06"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339016B1" w14:textId="77777777" w:rsidR="008C275C" w:rsidRDefault="008C275C" w:rsidP="001B288A">
            <w:pPr>
              <w:keepNext/>
            </w:pPr>
            <w:r>
              <w:rPr>
                <w:rFonts w:ascii="Calibri" w:eastAsia="Calibri" w:hAnsi="Calibri" w:cs="Calibri"/>
                <w:color w:val="000000"/>
                <w:sz w:val="21"/>
              </w:rPr>
              <w:t>Equity holders of the parent</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39C35599"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5B7AB7F" w14:textId="77777777" w:rsidR="008C275C" w:rsidRDefault="008C275C" w:rsidP="001B288A">
            <w:pPr>
              <w:keepNext/>
              <w:spacing w:before="48" w:after="30"/>
              <w:jc w:val="right"/>
            </w:pPr>
            <w:r>
              <w:rPr>
                <w:rFonts w:ascii="Calibri" w:eastAsia="Calibri" w:hAnsi="Calibri" w:cs="Calibri"/>
                <w:color w:val="000000"/>
                <w:sz w:val="21"/>
              </w:rPr>
              <w:t>109,655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23AE39B"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83A7B30" w14:textId="77777777" w:rsidR="008C275C" w:rsidRDefault="008C275C" w:rsidP="001B288A">
            <w:pPr>
              <w:keepNext/>
              <w:spacing w:before="48" w:after="30"/>
              <w:jc w:val="right"/>
            </w:pPr>
            <w:r>
              <w:rPr>
                <w:rFonts w:ascii="Calibri" w:eastAsia="Calibri" w:hAnsi="Calibri" w:cs="Calibri"/>
                <w:color w:val="000000"/>
                <w:sz w:val="21"/>
              </w:rPr>
              <w:t>91,923</w:t>
            </w:r>
          </w:p>
        </w:tc>
      </w:tr>
      <w:tr w:rsidR="008C275C" w14:paraId="2CA370E7"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334AC100" w14:textId="77777777" w:rsidR="008C275C" w:rsidRDefault="008C275C" w:rsidP="001B288A">
            <w:pPr>
              <w:keepNext/>
            </w:pPr>
            <w:r>
              <w:rPr>
                <w:rFonts w:ascii="Calibri" w:eastAsia="Calibri" w:hAnsi="Calibri" w:cs="Calibri"/>
                <w:color w:val="000000"/>
                <w:sz w:val="21"/>
              </w:rPr>
              <w:t>Non-controlling interests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5DAE827"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A090120" w14:textId="77777777" w:rsidR="008C275C" w:rsidRDefault="008C275C" w:rsidP="001B288A">
            <w:pPr>
              <w:keepNext/>
              <w:spacing w:before="48" w:after="30"/>
              <w:jc w:val="right"/>
            </w:pPr>
            <w:r>
              <w:rPr>
                <w:rFonts w:ascii="Calibri" w:eastAsia="Calibri" w:hAnsi="Calibri" w:cs="Calibri"/>
                <w:color w:val="000000"/>
                <w:sz w:val="21"/>
              </w:rPr>
              <w:t>826</w:t>
            </w:r>
          </w:p>
        </w:tc>
        <w:tc>
          <w:tcPr>
            <w:tcW w:w="136"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567D041D"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5139E0F" w14:textId="77777777" w:rsidR="008C275C" w:rsidRDefault="008C275C" w:rsidP="001B288A">
            <w:pPr>
              <w:keepNext/>
              <w:spacing w:before="48" w:after="30"/>
              <w:jc w:val="right"/>
            </w:pPr>
            <w:r>
              <w:rPr>
                <w:rFonts w:ascii="Calibri" w:eastAsia="Calibri" w:hAnsi="Calibri" w:cs="Calibri"/>
                <w:color w:val="000000"/>
                <w:sz w:val="21"/>
              </w:rPr>
              <w:t>-368</w:t>
            </w:r>
          </w:p>
        </w:tc>
      </w:tr>
      <w:tr w:rsidR="008C275C" w14:paraId="291878D1" w14:textId="77777777" w:rsidTr="00CD0B6A">
        <w:trPr>
          <w:cantSplit/>
          <w:trHeight w:hRule="exact" w:val="306"/>
        </w:trPr>
        <w:tc>
          <w:tcPr>
            <w:tcW w:w="6146"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152F2463"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C93B4F8" w14:textId="77777777" w:rsidR="008C275C" w:rsidRDefault="008C275C" w:rsidP="001B288A">
            <w:pPr>
              <w:keepNext/>
              <w:spacing w:before="48" w:after="30"/>
            </w:pPr>
          </w:p>
        </w:tc>
        <w:tc>
          <w:tcPr>
            <w:tcW w:w="1682"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5992611D" w14:textId="77777777" w:rsidR="008C275C" w:rsidRDefault="008C275C" w:rsidP="001B288A">
            <w:pPr>
              <w:keepNext/>
              <w:spacing w:before="48" w:after="30"/>
              <w:jc w:val="right"/>
            </w:pPr>
            <w:r>
              <w:rPr>
                <w:rFonts w:ascii="Calibri" w:eastAsia="Calibri" w:hAnsi="Calibri" w:cs="Calibri"/>
                <w:b/>
                <w:color w:val="000000"/>
                <w:sz w:val="21"/>
              </w:rPr>
              <w:t>110,481</w:t>
            </w:r>
          </w:p>
        </w:tc>
        <w:tc>
          <w:tcPr>
            <w:tcW w:w="136"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5FA47943" w14:textId="77777777" w:rsidR="008C275C" w:rsidRDefault="008C275C" w:rsidP="001B288A">
            <w:pPr>
              <w:keepNext/>
              <w:spacing w:before="48" w:after="30"/>
              <w:jc w:val="right"/>
            </w:pPr>
          </w:p>
        </w:tc>
        <w:tc>
          <w:tcPr>
            <w:tcW w:w="1685" w:type="dxa"/>
            <w:tcBorders>
              <w:top w:val="single" w:sz="2" w:space="0" w:color="000000"/>
              <w:left w:val="nil"/>
              <w:bottom w:val="single" w:sz="8" w:space="0" w:color="4F81BD"/>
              <w:right w:val="nil"/>
            </w:tcBorders>
            <w:tcMar>
              <w:top w:w="0" w:type="dxa"/>
              <w:left w:w="0" w:type="dxa"/>
              <w:bottom w:w="0" w:type="dxa"/>
              <w:right w:w="53" w:type="dxa"/>
            </w:tcMar>
            <w:vAlign w:val="bottom"/>
          </w:tcPr>
          <w:p w14:paraId="43CCF67A" w14:textId="77777777" w:rsidR="008C275C" w:rsidRDefault="008C275C" w:rsidP="001B288A">
            <w:pPr>
              <w:keepNext/>
              <w:spacing w:before="48" w:after="30"/>
              <w:jc w:val="right"/>
            </w:pPr>
            <w:r>
              <w:rPr>
                <w:rFonts w:ascii="Calibri" w:eastAsia="Calibri" w:hAnsi="Calibri" w:cs="Calibri"/>
                <w:b/>
                <w:color w:val="000000"/>
                <w:sz w:val="21"/>
              </w:rPr>
              <w:t>91,555</w:t>
            </w:r>
          </w:p>
        </w:tc>
      </w:tr>
      <w:tr w:rsidR="008C275C" w14:paraId="3AB44D1D" w14:textId="77777777" w:rsidTr="00CD0B6A">
        <w:trPr>
          <w:cantSplit/>
          <w:trHeight w:hRule="exact" w:val="306"/>
        </w:trPr>
        <w:tc>
          <w:tcPr>
            <w:tcW w:w="6146" w:type="dxa"/>
            <w:tcBorders>
              <w:top w:val="nil"/>
              <w:left w:val="nil"/>
              <w:bottom w:val="single" w:sz="2" w:space="0" w:color="000000"/>
              <w:right w:val="nil"/>
            </w:tcBorders>
            <w:shd w:val="clear" w:color="auto" w:fill="FFFFFF"/>
            <w:tcMar>
              <w:top w:w="0" w:type="dxa"/>
              <w:left w:w="53" w:type="dxa"/>
              <w:bottom w:w="0" w:type="dxa"/>
              <w:right w:w="53" w:type="dxa"/>
            </w:tcMar>
            <w:vAlign w:val="center"/>
          </w:tcPr>
          <w:p w14:paraId="2ADFC33E"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551E8C7" w14:textId="77777777" w:rsidR="008C275C" w:rsidRDefault="008C275C" w:rsidP="001B288A">
            <w:pPr>
              <w:keepNext/>
              <w:spacing w:before="33" w:after="30"/>
            </w:pPr>
          </w:p>
        </w:tc>
        <w:tc>
          <w:tcPr>
            <w:tcW w:w="1682" w:type="dxa"/>
            <w:tcBorders>
              <w:top w:val="single" w:sz="8" w:space="0" w:color="4F81BD"/>
              <w:left w:val="nil"/>
              <w:bottom w:val="single" w:sz="2" w:space="0" w:color="000000"/>
              <w:right w:val="nil"/>
            </w:tcBorders>
            <w:shd w:val="clear" w:color="auto" w:fill="FFFFFF"/>
            <w:tcMar>
              <w:top w:w="0" w:type="dxa"/>
              <w:left w:w="0" w:type="dxa"/>
              <w:bottom w:w="0" w:type="dxa"/>
              <w:right w:w="53" w:type="dxa"/>
            </w:tcMar>
            <w:vAlign w:val="bottom"/>
          </w:tcPr>
          <w:p w14:paraId="125C1088" w14:textId="77777777" w:rsidR="008C275C" w:rsidRDefault="008C275C" w:rsidP="001B288A">
            <w:pPr>
              <w:keepNext/>
              <w:spacing w:before="33"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0F2FD02" w14:textId="77777777" w:rsidR="008C275C" w:rsidRDefault="008C275C" w:rsidP="001B288A">
            <w:pPr>
              <w:keepNext/>
              <w:spacing w:before="33" w:after="30"/>
              <w:jc w:val="right"/>
            </w:pPr>
          </w:p>
        </w:tc>
        <w:tc>
          <w:tcPr>
            <w:tcW w:w="1685" w:type="dxa"/>
            <w:tcBorders>
              <w:top w:val="single" w:sz="8" w:space="0" w:color="4F81BD"/>
              <w:left w:val="nil"/>
              <w:bottom w:val="single" w:sz="2" w:space="0" w:color="000000"/>
              <w:right w:val="nil"/>
            </w:tcBorders>
            <w:shd w:val="clear" w:color="auto" w:fill="FFFFFF"/>
            <w:tcMar>
              <w:top w:w="0" w:type="dxa"/>
              <w:left w:w="0" w:type="dxa"/>
              <w:bottom w:w="0" w:type="dxa"/>
              <w:right w:w="53" w:type="dxa"/>
            </w:tcMar>
            <w:vAlign w:val="bottom"/>
          </w:tcPr>
          <w:p w14:paraId="34E11A22" w14:textId="77777777" w:rsidR="008C275C" w:rsidRDefault="008C275C" w:rsidP="001B288A">
            <w:pPr>
              <w:keepNext/>
              <w:spacing w:before="33" w:after="30"/>
              <w:jc w:val="right"/>
            </w:pPr>
          </w:p>
        </w:tc>
      </w:tr>
      <w:tr w:rsidR="008C275C" w14:paraId="7D567174"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31FF254E" w14:textId="77777777" w:rsidR="008C275C" w:rsidRDefault="008C275C" w:rsidP="001B288A">
            <w:pPr>
              <w:keepNext/>
            </w:pPr>
            <w:r>
              <w:rPr>
                <w:rFonts w:ascii="Calibri" w:eastAsia="Calibri" w:hAnsi="Calibri" w:cs="Calibri"/>
                <w:b/>
                <w:color w:val="000000"/>
                <w:sz w:val="21"/>
              </w:rPr>
              <w:t>Basic earnings per share (in €)</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2446FE06"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28BFA1B" w14:textId="77777777" w:rsidR="008C275C" w:rsidRDefault="008C275C" w:rsidP="001B288A">
            <w:pPr>
              <w:keepNext/>
              <w:spacing w:before="48" w:after="30"/>
              <w:jc w:val="right"/>
            </w:pPr>
            <w:r>
              <w:rPr>
                <w:rFonts w:ascii="Calibri" w:eastAsia="Calibri" w:hAnsi="Calibri" w:cs="Calibri"/>
                <w:b/>
                <w:color w:val="000000"/>
                <w:sz w:val="21"/>
              </w:rPr>
              <w:t>1.5286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F06B40D"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F363330" w14:textId="77777777" w:rsidR="008C275C" w:rsidRDefault="008C275C" w:rsidP="001B288A">
            <w:pPr>
              <w:keepNext/>
              <w:spacing w:before="48" w:after="30"/>
              <w:jc w:val="right"/>
            </w:pPr>
            <w:r>
              <w:rPr>
                <w:rFonts w:ascii="Calibri" w:eastAsia="Calibri" w:hAnsi="Calibri" w:cs="Calibri"/>
                <w:b/>
                <w:color w:val="000000"/>
                <w:sz w:val="21"/>
              </w:rPr>
              <w:t>1.2290</w:t>
            </w:r>
          </w:p>
        </w:tc>
      </w:tr>
      <w:tr w:rsidR="008C275C" w14:paraId="44420607"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784B781B" w14:textId="77777777" w:rsidR="008C275C" w:rsidRDefault="008C275C" w:rsidP="001B288A">
            <w:pPr>
              <w:keepNext/>
            </w:pPr>
            <w:r>
              <w:rPr>
                <w:rFonts w:ascii="Calibri" w:eastAsia="Calibri" w:hAnsi="Calibri" w:cs="Calibri"/>
                <w:b/>
                <w:color w:val="000000"/>
                <w:sz w:val="21"/>
              </w:rPr>
              <w:t>Diluted earnings per share (in €)</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24BA583"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B195640" w14:textId="77777777" w:rsidR="008C275C" w:rsidRDefault="008C275C" w:rsidP="001B288A">
            <w:pPr>
              <w:keepNext/>
              <w:spacing w:before="48" w:after="30"/>
              <w:jc w:val="right"/>
            </w:pPr>
            <w:r>
              <w:rPr>
                <w:rFonts w:ascii="Calibri" w:eastAsia="Calibri" w:hAnsi="Calibri" w:cs="Calibri"/>
                <w:b/>
                <w:color w:val="000000"/>
                <w:sz w:val="21"/>
              </w:rPr>
              <w:t>1.5275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60EAFEB"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C7F8C9B" w14:textId="77777777" w:rsidR="008C275C" w:rsidRDefault="008C275C" w:rsidP="001B288A">
            <w:pPr>
              <w:keepNext/>
              <w:spacing w:before="48" w:after="30"/>
              <w:jc w:val="right"/>
            </w:pPr>
            <w:r>
              <w:rPr>
                <w:rFonts w:ascii="Calibri" w:eastAsia="Calibri" w:hAnsi="Calibri" w:cs="Calibri"/>
                <w:b/>
                <w:color w:val="000000"/>
                <w:sz w:val="21"/>
              </w:rPr>
              <w:t>1.2242</w:t>
            </w:r>
          </w:p>
        </w:tc>
      </w:tr>
      <w:tr w:rsidR="008C275C" w14:paraId="2131CBF7" w14:textId="77777777" w:rsidTr="00CD0B6A">
        <w:trPr>
          <w:cantSplit/>
          <w:trHeight w:hRule="exact" w:val="291"/>
        </w:trPr>
        <w:tc>
          <w:tcPr>
            <w:tcW w:w="6146"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33EE0DCA" w14:textId="77777777" w:rsidR="008C275C" w:rsidRDefault="008C275C" w:rsidP="001B288A">
            <w:pPr>
              <w:keepNext/>
            </w:pPr>
          </w:p>
        </w:tc>
        <w:tc>
          <w:tcPr>
            <w:tcW w:w="136" w:type="dxa"/>
            <w:tcBorders>
              <w:top w:val="nil"/>
              <w:left w:val="nil"/>
              <w:bottom w:val="nil"/>
              <w:right w:val="nil"/>
            </w:tcBorders>
            <w:shd w:val="clear" w:color="auto" w:fill="FFFFFF"/>
            <w:tcMar>
              <w:top w:w="0" w:type="dxa"/>
              <w:left w:w="0" w:type="dxa"/>
              <w:bottom w:w="0" w:type="dxa"/>
              <w:right w:w="0" w:type="dxa"/>
            </w:tcMar>
            <w:vAlign w:val="bottom"/>
          </w:tcPr>
          <w:p w14:paraId="4E93D0A7" w14:textId="77777777" w:rsidR="008C275C" w:rsidRDefault="008C275C" w:rsidP="001B288A">
            <w:pPr>
              <w:keepNext/>
            </w:pPr>
          </w:p>
        </w:tc>
        <w:tc>
          <w:tcPr>
            <w:tcW w:w="1682"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17B88172" w14:textId="77777777" w:rsidR="008C275C" w:rsidRDefault="008C275C" w:rsidP="001B288A">
            <w:pPr>
              <w:keepNext/>
            </w:pPr>
          </w:p>
        </w:tc>
        <w:tc>
          <w:tcPr>
            <w:tcW w:w="136" w:type="dxa"/>
            <w:tcBorders>
              <w:top w:val="nil"/>
              <w:left w:val="nil"/>
              <w:bottom w:val="nil"/>
              <w:right w:val="nil"/>
            </w:tcBorders>
            <w:shd w:val="clear" w:color="auto" w:fill="FFFFFF"/>
            <w:tcMar>
              <w:top w:w="0" w:type="dxa"/>
              <w:left w:w="0" w:type="dxa"/>
              <w:bottom w:w="0" w:type="dxa"/>
              <w:right w:w="0" w:type="dxa"/>
            </w:tcMar>
            <w:vAlign w:val="bottom"/>
          </w:tcPr>
          <w:p w14:paraId="1C4A9FAC" w14:textId="77777777" w:rsidR="008C275C" w:rsidRDefault="008C275C" w:rsidP="001B288A">
            <w:pPr>
              <w:keepNext/>
            </w:pPr>
          </w:p>
        </w:tc>
        <w:tc>
          <w:tcPr>
            <w:tcW w:w="1685" w:type="dxa"/>
            <w:tcBorders>
              <w:top w:val="single" w:sz="2" w:space="0" w:color="000000"/>
              <w:left w:val="nil"/>
              <w:bottom w:val="nil"/>
              <w:right w:val="nil"/>
            </w:tcBorders>
            <w:shd w:val="clear" w:color="auto" w:fill="FFFFFF"/>
            <w:tcMar>
              <w:top w:w="0" w:type="dxa"/>
              <w:left w:w="53" w:type="dxa"/>
              <w:bottom w:w="0" w:type="dxa"/>
              <w:right w:w="53" w:type="dxa"/>
            </w:tcMar>
            <w:vAlign w:val="center"/>
          </w:tcPr>
          <w:p w14:paraId="75DC583B" w14:textId="77777777" w:rsidR="008C275C" w:rsidRDefault="008C275C" w:rsidP="001B288A">
            <w:pPr>
              <w:keepNext/>
            </w:pPr>
          </w:p>
        </w:tc>
      </w:tr>
      <w:tr w:rsidR="008C275C" w14:paraId="2A6465F4" w14:textId="77777777" w:rsidTr="00CD0B6A">
        <w:trPr>
          <w:cantSplit/>
          <w:trHeight w:hRule="exact" w:val="597"/>
        </w:trPr>
        <w:tc>
          <w:tcPr>
            <w:tcW w:w="9787" w:type="dxa"/>
            <w:gridSpan w:val="5"/>
            <w:tcBorders>
              <w:top w:val="single" w:sz="4" w:space="0" w:color="0094FF"/>
              <w:left w:val="nil"/>
              <w:bottom w:val="single" w:sz="8" w:space="0" w:color="000000"/>
              <w:right w:val="nil"/>
            </w:tcBorders>
            <w:tcMar>
              <w:top w:w="0" w:type="dxa"/>
              <w:left w:w="53" w:type="dxa"/>
              <w:bottom w:w="0" w:type="dxa"/>
              <w:right w:w="53" w:type="dxa"/>
            </w:tcMar>
            <w:vAlign w:val="bottom"/>
          </w:tcPr>
          <w:p w14:paraId="0E6A9860" w14:textId="77777777" w:rsidR="008C275C" w:rsidRDefault="008C275C" w:rsidP="001B288A">
            <w:pPr>
              <w:keepNext/>
              <w:spacing w:before="43" w:after="30"/>
            </w:pPr>
            <w:r>
              <w:rPr>
                <w:rFonts w:ascii="Calibri" w:eastAsia="Calibri" w:hAnsi="Calibri" w:cs="Calibri"/>
                <w:b/>
                <w:color w:val="00183D"/>
                <w:sz w:val="26"/>
              </w:rPr>
              <w:t xml:space="preserve">Earnings before interest, taxes, depreciation, </w:t>
            </w:r>
            <w:proofErr w:type="gramStart"/>
            <w:r>
              <w:rPr>
                <w:rFonts w:ascii="Calibri" w:eastAsia="Calibri" w:hAnsi="Calibri" w:cs="Calibri"/>
                <w:b/>
                <w:color w:val="00183D"/>
                <w:sz w:val="26"/>
              </w:rPr>
              <w:t>amortization</w:t>
            </w:r>
            <w:proofErr w:type="gramEnd"/>
            <w:r>
              <w:rPr>
                <w:rFonts w:ascii="Calibri" w:eastAsia="Calibri" w:hAnsi="Calibri" w:cs="Calibri"/>
                <w:b/>
                <w:color w:val="00183D"/>
                <w:sz w:val="26"/>
              </w:rPr>
              <w:t xml:space="preserve"> and impairment (EBITDA)</w:t>
            </w:r>
          </w:p>
        </w:tc>
      </w:tr>
      <w:tr w:rsidR="008C275C" w14:paraId="2E923FB1" w14:textId="77777777" w:rsidTr="00CD0B6A">
        <w:trPr>
          <w:cantSplit/>
          <w:trHeight w:hRule="exact" w:val="167"/>
        </w:trPr>
        <w:tc>
          <w:tcPr>
            <w:tcW w:w="6146" w:type="dxa"/>
            <w:tcBorders>
              <w:top w:val="nil"/>
              <w:left w:val="nil"/>
              <w:bottom w:val="single" w:sz="8" w:space="0" w:color="4F81BD"/>
              <w:right w:val="nil"/>
            </w:tcBorders>
            <w:tcMar>
              <w:top w:w="0" w:type="dxa"/>
              <w:left w:w="53" w:type="dxa"/>
              <w:bottom w:w="0" w:type="dxa"/>
              <w:right w:w="53" w:type="dxa"/>
            </w:tcMar>
            <w:vAlign w:val="bottom"/>
          </w:tcPr>
          <w:p w14:paraId="68A81BA1" w14:textId="77777777" w:rsidR="008C275C" w:rsidRDefault="008C275C" w:rsidP="001B288A">
            <w:pPr>
              <w:keepNext/>
              <w:spacing w:before="33" w:after="30"/>
            </w:pPr>
          </w:p>
        </w:tc>
        <w:tc>
          <w:tcPr>
            <w:tcW w:w="136" w:type="dxa"/>
            <w:tcBorders>
              <w:top w:val="single" w:sz="8" w:space="0" w:color="000000"/>
              <w:left w:val="nil"/>
              <w:bottom w:val="nil"/>
              <w:right w:val="nil"/>
            </w:tcBorders>
            <w:tcMar>
              <w:top w:w="0" w:type="dxa"/>
              <w:left w:w="53" w:type="dxa"/>
              <w:bottom w:w="0" w:type="dxa"/>
              <w:right w:w="53" w:type="dxa"/>
            </w:tcMar>
            <w:vAlign w:val="bottom"/>
          </w:tcPr>
          <w:p w14:paraId="1438CF1A" w14:textId="77777777" w:rsidR="008C275C" w:rsidRDefault="008C275C" w:rsidP="001B288A">
            <w:pPr>
              <w:keepNext/>
              <w:spacing w:before="33" w:after="30"/>
            </w:pPr>
          </w:p>
        </w:tc>
        <w:tc>
          <w:tcPr>
            <w:tcW w:w="1682" w:type="dxa"/>
            <w:tcBorders>
              <w:top w:val="single" w:sz="8" w:space="0" w:color="000000"/>
              <w:left w:val="nil"/>
              <w:bottom w:val="single" w:sz="8" w:space="0" w:color="4F81BD"/>
              <w:right w:val="nil"/>
            </w:tcBorders>
            <w:tcMar>
              <w:top w:w="0" w:type="dxa"/>
              <w:left w:w="53" w:type="dxa"/>
              <w:bottom w:w="0" w:type="dxa"/>
              <w:right w:w="53" w:type="dxa"/>
            </w:tcMar>
            <w:vAlign w:val="bottom"/>
          </w:tcPr>
          <w:p w14:paraId="626DC33A" w14:textId="77777777" w:rsidR="008C275C" w:rsidRDefault="008C275C" w:rsidP="001B288A">
            <w:pPr>
              <w:keepNext/>
              <w:spacing w:before="33" w:after="30"/>
            </w:pPr>
          </w:p>
        </w:tc>
        <w:tc>
          <w:tcPr>
            <w:tcW w:w="136" w:type="dxa"/>
            <w:tcBorders>
              <w:top w:val="single" w:sz="8" w:space="0" w:color="000000"/>
              <w:left w:val="nil"/>
              <w:bottom w:val="single" w:sz="4" w:space="0" w:color="026DCE"/>
              <w:right w:val="nil"/>
            </w:tcBorders>
            <w:tcMar>
              <w:top w:w="0" w:type="dxa"/>
              <w:left w:w="53" w:type="dxa"/>
              <w:bottom w:w="0" w:type="dxa"/>
              <w:right w:w="53" w:type="dxa"/>
            </w:tcMar>
            <w:vAlign w:val="bottom"/>
          </w:tcPr>
          <w:p w14:paraId="27E77D69" w14:textId="77777777" w:rsidR="008C275C" w:rsidRDefault="008C275C" w:rsidP="001B288A">
            <w:pPr>
              <w:keepNext/>
              <w:spacing w:before="33" w:after="30"/>
            </w:pPr>
          </w:p>
        </w:tc>
        <w:tc>
          <w:tcPr>
            <w:tcW w:w="1685" w:type="dxa"/>
            <w:tcBorders>
              <w:top w:val="single" w:sz="8" w:space="0" w:color="000000"/>
              <w:left w:val="nil"/>
              <w:bottom w:val="single" w:sz="8" w:space="0" w:color="4F81BD"/>
              <w:right w:val="nil"/>
            </w:tcBorders>
            <w:tcMar>
              <w:top w:w="0" w:type="dxa"/>
              <w:left w:w="53" w:type="dxa"/>
              <w:bottom w:w="0" w:type="dxa"/>
              <w:right w:w="53" w:type="dxa"/>
            </w:tcMar>
            <w:vAlign w:val="bottom"/>
          </w:tcPr>
          <w:p w14:paraId="76C2E9DA" w14:textId="77777777" w:rsidR="008C275C" w:rsidRDefault="008C275C" w:rsidP="001B288A">
            <w:pPr>
              <w:keepNext/>
              <w:spacing w:before="33" w:after="30"/>
            </w:pPr>
          </w:p>
        </w:tc>
      </w:tr>
      <w:tr w:rsidR="008C275C" w14:paraId="0DC560B0" w14:textId="77777777" w:rsidTr="00CD0B6A">
        <w:trPr>
          <w:cantSplit/>
          <w:trHeight w:hRule="exact" w:val="306"/>
        </w:trPr>
        <w:tc>
          <w:tcPr>
            <w:tcW w:w="6146" w:type="dxa"/>
            <w:tcBorders>
              <w:top w:val="single" w:sz="8" w:space="0" w:color="4F81BD"/>
              <w:left w:val="nil"/>
              <w:bottom w:val="nil"/>
              <w:right w:val="nil"/>
            </w:tcBorders>
            <w:shd w:val="clear" w:color="auto" w:fill="FFFFFF"/>
            <w:tcMar>
              <w:top w:w="0" w:type="dxa"/>
              <w:left w:w="53" w:type="dxa"/>
              <w:bottom w:w="0" w:type="dxa"/>
              <w:right w:w="53" w:type="dxa"/>
            </w:tcMar>
            <w:vAlign w:val="bottom"/>
          </w:tcPr>
          <w:p w14:paraId="3BA22791" w14:textId="77777777" w:rsidR="008C275C" w:rsidRDefault="008C275C" w:rsidP="001B288A">
            <w:pPr>
              <w:keepNext/>
              <w:spacing w:before="33" w:after="30"/>
            </w:pPr>
            <w:r>
              <w:rPr>
                <w:rFonts w:ascii="Calibri" w:eastAsia="Calibri" w:hAnsi="Calibri" w:cs="Calibri"/>
                <w:i/>
                <w:color w:val="000000"/>
                <w:sz w:val="21"/>
              </w:rPr>
              <w:t>(</w:t>
            </w:r>
            <w:proofErr w:type="gramStart"/>
            <w:r>
              <w:rPr>
                <w:rFonts w:ascii="Calibri" w:eastAsia="Calibri" w:hAnsi="Calibri" w:cs="Calibri"/>
                <w:i/>
                <w:color w:val="000000"/>
                <w:sz w:val="21"/>
              </w:rPr>
              <w:t>all</w:t>
            </w:r>
            <w:proofErr w:type="gramEnd"/>
            <w:r>
              <w:rPr>
                <w:rFonts w:ascii="Calibri" w:eastAsia="Calibri" w:hAnsi="Calibri" w:cs="Calibri"/>
                <w:i/>
                <w:color w:val="000000"/>
                <w:sz w:val="21"/>
              </w:rPr>
              <w:t xml:space="preserve"> amounts in Euro thousands)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6D4BD57" w14:textId="77777777" w:rsidR="008C275C" w:rsidRDefault="008C275C" w:rsidP="001B288A">
            <w:pPr>
              <w:keepNext/>
              <w:spacing w:before="33" w:after="30"/>
              <w:jc w:val="right"/>
            </w:pPr>
          </w:p>
        </w:tc>
        <w:tc>
          <w:tcPr>
            <w:tcW w:w="3504" w:type="dxa"/>
            <w:gridSpan w:val="3"/>
            <w:tcBorders>
              <w:top w:val="nil"/>
              <w:left w:val="nil"/>
              <w:bottom w:val="nil"/>
              <w:right w:val="nil"/>
            </w:tcBorders>
            <w:shd w:val="clear" w:color="auto" w:fill="FFFFFF"/>
            <w:tcMar>
              <w:top w:w="0" w:type="dxa"/>
              <w:left w:w="53" w:type="dxa"/>
              <w:bottom w:w="0" w:type="dxa"/>
              <w:right w:w="53" w:type="dxa"/>
            </w:tcMar>
            <w:vAlign w:val="bottom"/>
          </w:tcPr>
          <w:p w14:paraId="3A70A060" w14:textId="77777777" w:rsidR="008C275C" w:rsidRDefault="008C275C" w:rsidP="001B288A">
            <w:pPr>
              <w:keepNext/>
              <w:spacing w:before="33" w:after="30"/>
              <w:jc w:val="center"/>
            </w:pPr>
            <w:r>
              <w:rPr>
                <w:rFonts w:ascii="Calibri" w:eastAsia="Calibri" w:hAnsi="Calibri" w:cs="Calibri"/>
                <w:b/>
                <w:color w:val="000000"/>
                <w:sz w:val="21"/>
              </w:rPr>
              <w:t>Year ended 31 December</w:t>
            </w:r>
          </w:p>
        </w:tc>
      </w:tr>
      <w:tr w:rsidR="008C275C" w14:paraId="4815D810" w14:textId="77777777" w:rsidTr="003477F6">
        <w:trPr>
          <w:cantSplit/>
          <w:trHeight w:hRule="exact" w:val="291"/>
        </w:trPr>
        <w:tc>
          <w:tcPr>
            <w:tcW w:w="6146" w:type="dxa"/>
            <w:tcBorders>
              <w:top w:val="nil"/>
              <w:left w:val="nil"/>
              <w:bottom w:val="nil"/>
              <w:right w:val="nil"/>
            </w:tcBorders>
            <w:shd w:val="clear" w:color="auto" w:fill="FFFFFF"/>
            <w:tcMar>
              <w:top w:w="0" w:type="dxa"/>
              <w:left w:w="53" w:type="dxa"/>
              <w:bottom w:w="0" w:type="dxa"/>
              <w:right w:w="53" w:type="dxa"/>
            </w:tcMar>
            <w:vAlign w:val="center"/>
          </w:tcPr>
          <w:p w14:paraId="681B034C" w14:textId="77777777" w:rsidR="008C275C" w:rsidRDefault="008C275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F5A5FC3" w14:textId="77777777" w:rsidR="008C275C" w:rsidRDefault="008C275C" w:rsidP="001B288A">
            <w:pPr>
              <w:keepNext/>
              <w:spacing w:before="33" w:after="30"/>
            </w:pPr>
          </w:p>
        </w:tc>
        <w:tc>
          <w:tcPr>
            <w:tcW w:w="1682"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79189DEB" w14:textId="77777777" w:rsidR="008C275C" w:rsidRDefault="008C275C" w:rsidP="001B288A">
            <w:pPr>
              <w:keepNext/>
              <w:spacing w:before="33" w:after="30"/>
              <w:jc w:val="right"/>
            </w:pPr>
            <w:r>
              <w:rPr>
                <w:rFonts w:ascii="Calibri" w:eastAsia="Calibri" w:hAnsi="Calibri" w:cs="Calibri"/>
                <w:b/>
                <w:color w:val="000000"/>
                <w:sz w:val="21"/>
              </w:rPr>
              <w:t>2022</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06F37BB" w14:textId="77777777" w:rsidR="008C275C" w:rsidRDefault="008C275C" w:rsidP="001B288A">
            <w:pPr>
              <w:keepNext/>
              <w:spacing w:before="33" w:after="30"/>
              <w:jc w:val="right"/>
            </w:pPr>
          </w:p>
        </w:tc>
        <w:tc>
          <w:tcPr>
            <w:tcW w:w="1685" w:type="dxa"/>
            <w:tcBorders>
              <w:top w:val="single" w:sz="8" w:space="0" w:color="000000"/>
              <w:left w:val="nil"/>
              <w:bottom w:val="single" w:sz="8" w:space="0" w:color="000000"/>
              <w:right w:val="nil"/>
            </w:tcBorders>
            <w:shd w:val="clear" w:color="auto" w:fill="FFFFFF"/>
            <w:tcMar>
              <w:top w:w="0" w:type="dxa"/>
              <w:left w:w="0" w:type="dxa"/>
              <w:bottom w:w="0" w:type="dxa"/>
              <w:right w:w="53" w:type="dxa"/>
            </w:tcMar>
            <w:vAlign w:val="bottom"/>
          </w:tcPr>
          <w:p w14:paraId="05B9E86A" w14:textId="77777777" w:rsidR="008C275C" w:rsidRDefault="008C275C" w:rsidP="001B288A">
            <w:pPr>
              <w:keepNext/>
              <w:spacing w:before="33" w:after="30"/>
              <w:jc w:val="right"/>
            </w:pPr>
            <w:r>
              <w:rPr>
                <w:rFonts w:ascii="Calibri" w:eastAsia="Calibri" w:hAnsi="Calibri" w:cs="Calibri"/>
                <w:b/>
                <w:color w:val="000000"/>
                <w:sz w:val="21"/>
              </w:rPr>
              <w:t>2021</w:t>
            </w:r>
          </w:p>
        </w:tc>
      </w:tr>
      <w:tr w:rsidR="008C275C" w14:paraId="22D729A8" w14:textId="77777777" w:rsidTr="003477F6">
        <w:trPr>
          <w:cantSplit/>
          <w:trHeight w:hRule="exact" w:val="199"/>
        </w:trPr>
        <w:tc>
          <w:tcPr>
            <w:tcW w:w="6146" w:type="dxa"/>
            <w:tcBorders>
              <w:top w:val="single" w:sz="8" w:space="0" w:color="000000"/>
              <w:left w:val="nil"/>
              <w:bottom w:val="single" w:sz="2" w:space="0" w:color="000000"/>
              <w:right w:val="nil"/>
            </w:tcBorders>
            <w:shd w:val="clear" w:color="auto" w:fill="FFFFFF"/>
            <w:tcMar>
              <w:top w:w="0" w:type="dxa"/>
              <w:left w:w="53" w:type="dxa"/>
              <w:bottom w:w="0" w:type="dxa"/>
              <w:right w:w="53" w:type="dxa"/>
            </w:tcMar>
            <w:vAlign w:val="center"/>
          </w:tcPr>
          <w:p w14:paraId="090EC870" w14:textId="77777777" w:rsidR="008C275C" w:rsidRDefault="008C275C" w:rsidP="001B288A">
            <w:pPr>
              <w:keepNext/>
            </w:pPr>
          </w:p>
        </w:tc>
        <w:tc>
          <w:tcPr>
            <w:tcW w:w="136"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172C3660" w14:textId="77777777" w:rsidR="008C275C" w:rsidRDefault="008C275C" w:rsidP="001B288A">
            <w:pPr>
              <w:keepNext/>
              <w:spacing w:before="33" w:after="30"/>
            </w:pPr>
          </w:p>
        </w:tc>
        <w:tc>
          <w:tcPr>
            <w:tcW w:w="1682" w:type="dxa"/>
            <w:tcBorders>
              <w:top w:val="single" w:sz="8" w:space="0" w:color="000000"/>
              <w:left w:val="nil"/>
              <w:bottom w:val="single" w:sz="2" w:space="0" w:color="000000"/>
              <w:right w:val="nil"/>
            </w:tcBorders>
            <w:tcMar>
              <w:top w:w="0" w:type="dxa"/>
              <w:left w:w="0" w:type="dxa"/>
              <w:bottom w:w="0" w:type="dxa"/>
              <w:right w:w="53" w:type="dxa"/>
            </w:tcMar>
            <w:vAlign w:val="bottom"/>
          </w:tcPr>
          <w:p w14:paraId="162EB182" w14:textId="77777777" w:rsidR="008C275C" w:rsidRDefault="008C275C" w:rsidP="001B288A">
            <w:pPr>
              <w:keepNext/>
              <w:spacing w:before="33" w:after="30"/>
              <w:jc w:val="right"/>
            </w:pPr>
          </w:p>
        </w:tc>
        <w:tc>
          <w:tcPr>
            <w:tcW w:w="136"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185C7749" w14:textId="77777777" w:rsidR="008C275C" w:rsidRDefault="008C275C" w:rsidP="001B288A">
            <w:pPr>
              <w:keepNext/>
              <w:spacing w:before="33" w:after="30"/>
              <w:jc w:val="right"/>
            </w:pPr>
          </w:p>
        </w:tc>
        <w:tc>
          <w:tcPr>
            <w:tcW w:w="1685" w:type="dxa"/>
            <w:tcBorders>
              <w:top w:val="single" w:sz="8" w:space="0" w:color="000000"/>
              <w:left w:val="nil"/>
              <w:bottom w:val="single" w:sz="2" w:space="0" w:color="000000"/>
              <w:right w:val="nil"/>
            </w:tcBorders>
            <w:tcMar>
              <w:top w:w="0" w:type="dxa"/>
              <w:left w:w="0" w:type="dxa"/>
              <w:bottom w:w="0" w:type="dxa"/>
              <w:right w:w="53" w:type="dxa"/>
            </w:tcMar>
            <w:vAlign w:val="bottom"/>
          </w:tcPr>
          <w:p w14:paraId="2E58E1B2" w14:textId="77777777" w:rsidR="008C275C" w:rsidRDefault="008C275C" w:rsidP="001B288A">
            <w:pPr>
              <w:keepNext/>
              <w:spacing w:before="33" w:after="30"/>
              <w:jc w:val="right"/>
            </w:pPr>
          </w:p>
        </w:tc>
      </w:tr>
      <w:tr w:rsidR="008C275C" w14:paraId="78C53A4B"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3365CA27" w14:textId="77777777" w:rsidR="008C275C" w:rsidRDefault="008C275C" w:rsidP="001B288A">
            <w:pPr>
              <w:keepNext/>
            </w:pPr>
            <w:r>
              <w:rPr>
                <w:rFonts w:ascii="Calibri" w:eastAsia="Calibri" w:hAnsi="Calibri" w:cs="Calibri"/>
                <w:b/>
                <w:color w:val="000000"/>
                <w:sz w:val="21"/>
              </w:rPr>
              <w:t>Operating profit before impairment losses on goodwill</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30915E1"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E993F2A" w14:textId="77777777" w:rsidR="008C275C" w:rsidRDefault="008C275C" w:rsidP="001B288A">
            <w:pPr>
              <w:keepNext/>
              <w:spacing w:before="48" w:after="30"/>
              <w:jc w:val="right"/>
            </w:pPr>
            <w:r>
              <w:rPr>
                <w:rFonts w:ascii="Calibri" w:eastAsia="Calibri" w:hAnsi="Calibri" w:cs="Calibri"/>
                <w:b/>
                <w:color w:val="000000"/>
                <w:sz w:val="21"/>
              </w:rPr>
              <w:t>177,630</w:t>
            </w:r>
          </w:p>
        </w:tc>
        <w:tc>
          <w:tcPr>
            <w:tcW w:w="136" w:type="dxa"/>
            <w:tcBorders>
              <w:top w:val="nil"/>
              <w:left w:val="nil"/>
              <w:bottom w:val="nil"/>
              <w:right w:val="nil"/>
            </w:tcBorders>
            <w:tcMar>
              <w:top w:w="0" w:type="dxa"/>
              <w:left w:w="53" w:type="dxa"/>
              <w:bottom w:w="0" w:type="dxa"/>
              <w:right w:w="53" w:type="dxa"/>
            </w:tcMar>
            <w:vAlign w:val="bottom"/>
          </w:tcPr>
          <w:p w14:paraId="081913B7" w14:textId="77777777" w:rsidR="008C275C" w:rsidRDefault="008C275C" w:rsidP="001B288A">
            <w:pPr>
              <w:keepNext/>
              <w:spacing w:before="48" w:after="30"/>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51604DC" w14:textId="77777777" w:rsidR="008C275C" w:rsidRDefault="008C275C" w:rsidP="001B288A">
            <w:pPr>
              <w:keepNext/>
              <w:spacing w:before="48" w:after="30"/>
              <w:jc w:val="right"/>
            </w:pPr>
            <w:r>
              <w:rPr>
                <w:rFonts w:ascii="Calibri" w:eastAsia="Calibri" w:hAnsi="Calibri" w:cs="Calibri"/>
                <w:b/>
                <w:color w:val="000000"/>
                <w:sz w:val="21"/>
              </w:rPr>
              <w:t>138,728</w:t>
            </w:r>
          </w:p>
        </w:tc>
      </w:tr>
      <w:tr w:rsidR="008C275C" w14:paraId="595127F8"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415A4F4C" w14:textId="77777777" w:rsidR="008C275C" w:rsidRDefault="008C275C" w:rsidP="001B288A">
            <w:pPr>
              <w:keepNext/>
            </w:pPr>
            <w:r>
              <w:rPr>
                <w:rFonts w:ascii="Calibri" w:eastAsia="Calibri" w:hAnsi="Calibri" w:cs="Calibri"/>
                <w:color w:val="000000"/>
                <w:sz w:val="21"/>
              </w:rPr>
              <w:t>Depreciation and amortization</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0A100C8"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BA7E141" w14:textId="77777777" w:rsidR="008C275C" w:rsidRDefault="008C275C" w:rsidP="001B288A">
            <w:pPr>
              <w:keepNext/>
              <w:spacing w:before="48" w:after="30"/>
              <w:jc w:val="right"/>
            </w:pPr>
            <w:r>
              <w:rPr>
                <w:rFonts w:ascii="Calibri" w:eastAsia="Calibri" w:hAnsi="Calibri" w:cs="Calibri"/>
                <w:color w:val="000000"/>
                <w:sz w:val="21"/>
              </w:rPr>
              <w:t>152,339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2796A54"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6F11220" w14:textId="77777777" w:rsidR="008C275C" w:rsidRDefault="008C275C" w:rsidP="001B288A">
            <w:pPr>
              <w:keepNext/>
              <w:spacing w:before="48" w:after="30"/>
              <w:jc w:val="right"/>
            </w:pPr>
            <w:r>
              <w:rPr>
                <w:rFonts w:ascii="Calibri" w:eastAsia="Calibri" w:hAnsi="Calibri" w:cs="Calibri"/>
                <w:color w:val="000000"/>
                <w:sz w:val="21"/>
              </w:rPr>
              <w:t>136,481</w:t>
            </w:r>
          </w:p>
        </w:tc>
      </w:tr>
      <w:tr w:rsidR="008C275C" w14:paraId="440C2B5E" w14:textId="77777777" w:rsidTr="00CD0B6A">
        <w:trPr>
          <w:cantSplit/>
          <w:trHeight w:hRule="exact" w:val="306"/>
        </w:trPr>
        <w:tc>
          <w:tcPr>
            <w:tcW w:w="614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center"/>
          </w:tcPr>
          <w:p w14:paraId="197746D6" w14:textId="77777777" w:rsidR="008C275C" w:rsidRDefault="008C275C" w:rsidP="001B288A">
            <w:pPr>
              <w:keepNext/>
            </w:pPr>
            <w:r>
              <w:rPr>
                <w:rFonts w:ascii="Calibri" w:eastAsia="Calibri" w:hAnsi="Calibri" w:cs="Calibri"/>
                <w:color w:val="000000"/>
                <w:sz w:val="21"/>
              </w:rPr>
              <w:t xml:space="preserve">Impairment of tangible and intangible assets </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FE54F3F" w14:textId="77777777" w:rsidR="008C275C" w:rsidRDefault="008C275C" w:rsidP="001B288A">
            <w:pPr>
              <w:keepNext/>
              <w:spacing w:before="48" w:after="30"/>
            </w:pPr>
          </w:p>
        </w:tc>
        <w:tc>
          <w:tcPr>
            <w:tcW w:w="1682"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B1DCCA5" w14:textId="77777777" w:rsidR="008C275C" w:rsidRDefault="008C275C" w:rsidP="001B288A">
            <w:pPr>
              <w:keepNext/>
              <w:spacing w:before="48" w:after="30"/>
              <w:jc w:val="right"/>
            </w:pPr>
            <w:r>
              <w:rPr>
                <w:rFonts w:ascii="Calibri" w:eastAsia="Calibri" w:hAnsi="Calibri" w:cs="Calibri"/>
                <w:color w:val="000000"/>
                <w:sz w:val="21"/>
              </w:rPr>
              <w:t>1,233</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140CEF3" w14:textId="77777777" w:rsidR="008C275C" w:rsidRDefault="008C275C" w:rsidP="001B288A">
            <w:pPr>
              <w:keepNext/>
              <w:spacing w:before="48" w:after="30"/>
              <w:jc w:val="right"/>
            </w:pPr>
          </w:p>
        </w:tc>
        <w:tc>
          <w:tcPr>
            <w:tcW w:w="168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E50279A" w14:textId="77777777" w:rsidR="008C275C" w:rsidRDefault="008C275C" w:rsidP="001B288A">
            <w:pPr>
              <w:keepNext/>
              <w:spacing w:before="48" w:after="30"/>
              <w:jc w:val="right"/>
            </w:pPr>
            <w:r>
              <w:rPr>
                <w:rFonts w:ascii="Calibri" w:eastAsia="Calibri" w:hAnsi="Calibri" w:cs="Calibri"/>
                <w:color w:val="000000"/>
                <w:sz w:val="21"/>
              </w:rPr>
              <w:t>-</w:t>
            </w:r>
          </w:p>
        </w:tc>
      </w:tr>
      <w:tr w:rsidR="008C275C" w14:paraId="6DABEA2D" w14:textId="77777777" w:rsidTr="00CD0B6A">
        <w:trPr>
          <w:cantSplit/>
          <w:trHeight w:hRule="exact" w:val="537"/>
        </w:trPr>
        <w:tc>
          <w:tcPr>
            <w:tcW w:w="6146" w:type="dxa"/>
            <w:tcBorders>
              <w:top w:val="single" w:sz="2" w:space="0" w:color="000000"/>
              <w:left w:val="nil"/>
              <w:bottom w:val="single" w:sz="8" w:space="0" w:color="4F81BD"/>
              <w:right w:val="nil"/>
            </w:tcBorders>
            <w:shd w:val="clear" w:color="auto" w:fill="FFFFFF"/>
            <w:tcMar>
              <w:top w:w="0" w:type="dxa"/>
              <w:left w:w="53" w:type="dxa"/>
              <w:bottom w:w="0" w:type="dxa"/>
              <w:right w:w="53" w:type="dxa"/>
            </w:tcMar>
            <w:vAlign w:val="bottom"/>
          </w:tcPr>
          <w:p w14:paraId="21E8889F" w14:textId="77777777" w:rsidR="008C275C" w:rsidRDefault="008C275C" w:rsidP="001B288A">
            <w:pPr>
              <w:spacing w:before="48" w:after="30"/>
            </w:pPr>
            <w:r>
              <w:rPr>
                <w:rFonts w:ascii="Calibri" w:eastAsia="Calibri" w:hAnsi="Calibri" w:cs="Calibri"/>
                <w:b/>
                <w:color w:val="000000"/>
                <w:sz w:val="21"/>
              </w:rPr>
              <w:t xml:space="preserve">Earnings before interest, taxes, depreciation, </w:t>
            </w:r>
            <w:proofErr w:type="gramStart"/>
            <w:r>
              <w:rPr>
                <w:rFonts w:ascii="Calibri" w:eastAsia="Calibri" w:hAnsi="Calibri" w:cs="Calibri"/>
                <w:b/>
                <w:color w:val="000000"/>
                <w:sz w:val="21"/>
              </w:rPr>
              <w:t>amortization</w:t>
            </w:r>
            <w:proofErr w:type="gramEnd"/>
            <w:r>
              <w:rPr>
                <w:rFonts w:ascii="Calibri" w:eastAsia="Calibri" w:hAnsi="Calibri" w:cs="Calibri"/>
                <w:b/>
                <w:color w:val="000000"/>
                <w:sz w:val="21"/>
              </w:rPr>
              <w:t xml:space="preserve"> and impairment (EBITDA)</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0CDFC92" w14:textId="77777777" w:rsidR="008C275C" w:rsidRDefault="008C275C" w:rsidP="001B288A">
            <w:pPr>
              <w:spacing w:before="48" w:after="30"/>
              <w:jc w:val="right"/>
            </w:pPr>
          </w:p>
        </w:tc>
        <w:tc>
          <w:tcPr>
            <w:tcW w:w="1682"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295F71D0" w14:textId="77777777" w:rsidR="008C275C" w:rsidRDefault="008C275C" w:rsidP="001B288A">
            <w:pPr>
              <w:spacing w:before="48" w:after="30"/>
              <w:jc w:val="right"/>
            </w:pPr>
            <w:r>
              <w:rPr>
                <w:rFonts w:ascii="Calibri" w:eastAsia="Calibri" w:hAnsi="Calibri" w:cs="Calibri"/>
                <w:b/>
                <w:color w:val="000000"/>
                <w:sz w:val="21"/>
              </w:rPr>
              <w:t>331,202</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D9E0D4E" w14:textId="77777777" w:rsidR="008C275C" w:rsidRDefault="008C275C" w:rsidP="001B288A">
            <w:pPr>
              <w:spacing w:before="48" w:after="30"/>
            </w:pPr>
          </w:p>
        </w:tc>
        <w:tc>
          <w:tcPr>
            <w:tcW w:w="1685" w:type="dxa"/>
            <w:tcBorders>
              <w:top w:val="single" w:sz="2" w:space="0" w:color="000000"/>
              <w:left w:val="nil"/>
              <w:bottom w:val="single" w:sz="8" w:space="0" w:color="4F81BD"/>
              <w:right w:val="nil"/>
            </w:tcBorders>
            <w:shd w:val="clear" w:color="auto" w:fill="FFFFFF"/>
            <w:tcMar>
              <w:top w:w="0" w:type="dxa"/>
              <w:left w:w="0" w:type="dxa"/>
              <w:bottom w:w="0" w:type="dxa"/>
              <w:right w:w="53" w:type="dxa"/>
            </w:tcMar>
            <w:vAlign w:val="bottom"/>
          </w:tcPr>
          <w:p w14:paraId="437153E2" w14:textId="77777777" w:rsidR="008C275C" w:rsidRDefault="008C275C" w:rsidP="001B288A">
            <w:pPr>
              <w:spacing w:before="48" w:after="30"/>
              <w:jc w:val="right"/>
            </w:pPr>
            <w:r>
              <w:rPr>
                <w:rFonts w:ascii="Calibri" w:eastAsia="Calibri" w:hAnsi="Calibri" w:cs="Calibri"/>
                <w:b/>
                <w:color w:val="000000"/>
                <w:sz w:val="21"/>
              </w:rPr>
              <w:t>275,209</w:t>
            </w:r>
          </w:p>
        </w:tc>
      </w:tr>
    </w:tbl>
    <w:p w14:paraId="7743C1D2" w14:textId="77777777" w:rsidR="008C275C" w:rsidRDefault="008C275C" w:rsidP="008C275C">
      <w:pPr>
        <w:spacing w:line="288" w:lineRule="auto"/>
        <w:rPr>
          <w:sz w:val="2"/>
        </w:rPr>
      </w:pPr>
    </w:p>
    <w:p w14:paraId="1D20A024" w14:textId="77777777" w:rsidR="00B37C73" w:rsidRDefault="00B37C73" w:rsidP="004A7016">
      <w:pPr>
        <w:spacing w:after="200" w:line="276" w:lineRule="auto"/>
        <w:rPr>
          <w:rFonts w:ascii="Calibri" w:eastAsia="Arial" w:hAnsi="Calibri" w:cs="Calibri"/>
        </w:rPr>
      </w:pPr>
    </w:p>
    <w:p w14:paraId="290ED327" w14:textId="77777777" w:rsidR="00FD7C58" w:rsidRDefault="00FD7C58" w:rsidP="004A7016">
      <w:pPr>
        <w:spacing w:after="200" w:line="276" w:lineRule="auto"/>
        <w:rPr>
          <w:rFonts w:ascii="Calibri" w:eastAsia="Arial" w:hAnsi="Calibri" w:cs="Calibri"/>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3"/>
        <w:gridCol w:w="136"/>
        <w:gridCol w:w="1693"/>
        <w:gridCol w:w="136"/>
        <w:gridCol w:w="1695"/>
        <w:gridCol w:w="6"/>
      </w:tblGrid>
      <w:tr w:rsidR="000510AC" w14:paraId="192A45CE" w14:textId="77777777" w:rsidTr="00CD0B6A">
        <w:trPr>
          <w:cantSplit/>
          <w:trHeight w:hRule="exact" w:val="455"/>
        </w:trPr>
        <w:tc>
          <w:tcPr>
            <w:tcW w:w="9869" w:type="dxa"/>
            <w:gridSpan w:val="6"/>
            <w:tcBorders>
              <w:top w:val="nil"/>
              <w:left w:val="nil"/>
              <w:bottom w:val="single" w:sz="8" w:space="0" w:color="000000"/>
              <w:right w:val="nil"/>
            </w:tcBorders>
            <w:shd w:val="clear" w:color="auto" w:fill="FFFFFF"/>
            <w:tcMar>
              <w:top w:w="0" w:type="dxa"/>
              <w:left w:w="53" w:type="dxa"/>
              <w:bottom w:w="0" w:type="dxa"/>
              <w:right w:w="53" w:type="dxa"/>
            </w:tcMar>
            <w:vAlign w:val="bottom"/>
          </w:tcPr>
          <w:p w14:paraId="3BD9449E" w14:textId="77777777" w:rsidR="000510AC" w:rsidRDefault="000510AC" w:rsidP="001B288A">
            <w:pPr>
              <w:keepNext/>
              <w:spacing w:before="53" w:after="30"/>
            </w:pPr>
            <w:r>
              <w:rPr>
                <w:rFonts w:ascii="Calibri" w:eastAsia="Calibri" w:hAnsi="Calibri" w:cs="Calibri"/>
                <w:b/>
                <w:color w:val="00183D"/>
                <w:sz w:val="28"/>
              </w:rPr>
              <w:t>Condensed Consolidated Statement of Financial Position</w:t>
            </w:r>
          </w:p>
        </w:tc>
      </w:tr>
      <w:tr w:rsidR="0002184F" w14:paraId="1E3336FC" w14:textId="77777777" w:rsidTr="00CD0B6A">
        <w:trPr>
          <w:gridAfter w:val="1"/>
          <w:wAfter w:w="6" w:type="dxa"/>
          <w:cantSplit/>
          <w:trHeight w:val="177"/>
        </w:trPr>
        <w:tc>
          <w:tcPr>
            <w:tcW w:w="6203" w:type="dxa"/>
            <w:tcBorders>
              <w:top w:val="nil"/>
              <w:left w:val="nil"/>
              <w:bottom w:val="single" w:sz="8" w:space="0" w:color="4F81BD"/>
              <w:right w:val="nil"/>
            </w:tcBorders>
            <w:shd w:val="clear" w:color="auto" w:fill="FFFFFF"/>
            <w:tcMar>
              <w:top w:w="0" w:type="dxa"/>
              <w:left w:w="53" w:type="dxa"/>
              <w:bottom w:w="0" w:type="dxa"/>
              <w:right w:w="53" w:type="dxa"/>
            </w:tcMar>
          </w:tcPr>
          <w:p w14:paraId="05C4B29A" w14:textId="77777777" w:rsidR="000510AC" w:rsidRDefault="000510AC" w:rsidP="001B288A">
            <w:pPr>
              <w:keepNext/>
              <w:spacing w:before="33" w:after="30"/>
            </w:pPr>
          </w:p>
        </w:tc>
        <w:tc>
          <w:tcPr>
            <w:tcW w:w="136" w:type="dxa"/>
            <w:tcBorders>
              <w:top w:val="single" w:sz="8" w:space="0" w:color="000000"/>
              <w:left w:val="nil"/>
              <w:bottom w:val="nil"/>
              <w:right w:val="nil"/>
            </w:tcBorders>
            <w:shd w:val="clear" w:color="auto" w:fill="FFFFFF"/>
            <w:tcMar>
              <w:top w:w="0" w:type="dxa"/>
              <w:left w:w="53" w:type="dxa"/>
              <w:bottom w:w="0" w:type="dxa"/>
              <w:right w:w="53" w:type="dxa"/>
            </w:tcMar>
          </w:tcPr>
          <w:p w14:paraId="66046B5A" w14:textId="77777777" w:rsidR="000510AC" w:rsidRDefault="000510AC" w:rsidP="001B288A">
            <w:pPr>
              <w:keepNext/>
              <w:spacing w:before="33" w:after="30"/>
            </w:pPr>
          </w:p>
        </w:tc>
        <w:tc>
          <w:tcPr>
            <w:tcW w:w="1693" w:type="dxa"/>
            <w:tcBorders>
              <w:top w:val="single" w:sz="8" w:space="0" w:color="000000"/>
              <w:left w:val="nil"/>
              <w:bottom w:val="single" w:sz="8" w:space="0" w:color="4F81BD"/>
              <w:right w:val="nil"/>
            </w:tcBorders>
            <w:shd w:val="clear" w:color="auto" w:fill="FFFFFF"/>
            <w:tcMar>
              <w:top w:w="0" w:type="dxa"/>
              <w:left w:w="53" w:type="dxa"/>
              <w:bottom w:w="0" w:type="dxa"/>
              <w:right w:w="53" w:type="dxa"/>
            </w:tcMar>
          </w:tcPr>
          <w:p w14:paraId="52973861" w14:textId="77777777" w:rsidR="000510AC" w:rsidRDefault="000510AC" w:rsidP="001B288A">
            <w:pPr>
              <w:keepNext/>
              <w:spacing w:before="33" w:after="30"/>
            </w:pPr>
          </w:p>
        </w:tc>
        <w:tc>
          <w:tcPr>
            <w:tcW w:w="136" w:type="dxa"/>
            <w:tcBorders>
              <w:top w:val="single" w:sz="8" w:space="0" w:color="000000"/>
              <w:left w:val="nil"/>
              <w:bottom w:val="single" w:sz="4" w:space="0" w:color="026DCE"/>
              <w:right w:val="nil"/>
            </w:tcBorders>
            <w:shd w:val="clear" w:color="auto" w:fill="FFFFFF"/>
            <w:tcMar>
              <w:top w:w="0" w:type="dxa"/>
              <w:left w:w="53" w:type="dxa"/>
              <w:bottom w:w="0" w:type="dxa"/>
              <w:right w:w="53" w:type="dxa"/>
            </w:tcMar>
          </w:tcPr>
          <w:p w14:paraId="0E5AD588" w14:textId="77777777" w:rsidR="000510AC" w:rsidRDefault="000510AC" w:rsidP="001B288A">
            <w:pPr>
              <w:keepNext/>
              <w:spacing w:before="33" w:after="30"/>
            </w:pPr>
          </w:p>
        </w:tc>
        <w:tc>
          <w:tcPr>
            <w:tcW w:w="1695" w:type="dxa"/>
            <w:tcBorders>
              <w:top w:val="single" w:sz="8" w:space="0" w:color="000000"/>
              <w:left w:val="nil"/>
              <w:bottom w:val="single" w:sz="8" w:space="0" w:color="4F81BD"/>
              <w:right w:val="nil"/>
            </w:tcBorders>
            <w:shd w:val="clear" w:color="auto" w:fill="FFFFFF"/>
            <w:tcMar>
              <w:top w:w="0" w:type="dxa"/>
              <w:left w:w="53" w:type="dxa"/>
              <w:bottom w:w="0" w:type="dxa"/>
              <w:right w:w="53" w:type="dxa"/>
            </w:tcMar>
          </w:tcPr>
          <w:p w14:paraId="4DBE7249" w14:textId="77777777" w:rsidR="000510AC" w:rsidRDefault="000510AC" w:rsidP="001B288A">
            <w:pPr>
              <w:keepNext/>
              <w:spacing w:before="33" w:after="30"/>
            </w:pPr>
          </w:p>
        </w:tc>
      </w:tr>
      <w:tr w:rsidR="0002184F" w14:paraId="11002AA4" w14:textId="77777777" w:rsidTr="00CD0B6A">
        <w:trPr>
          <w:gridAfter w:val="1"/>
          <w:wAfter w:w="6" w:type="dxa"/>
          <w:cantSplit/>
          <w:trHeight w:hRule="exact" w:val="325"/>
        </w:trPr>
        <w:tc>
          <w:tcPr>
            <w:tcW w:w="6203" w:type="dxa"/>
            <w:tcBorders>
              <w:top w:val="single" w:sz="8" w:space="0" w:color="4F81BD"/>
              <w:left w:val="nil"/>
              <w:bottom w:val="nil"/>
              <w:right w:val="nil"/>
            </w:tcBorders>
            <w:shd w:val="clear" w:color="auto" w:fill="FFFFFF"/>
            <w:tcMar>
              <w:top w:w="0" w:type="dxa"/>
              <w:left w:w="53" w:type="dxa"/>
              <w:bottom w:w="0" w:type="dxa"/>
              <w:right w:w="53" w:type="dxa"/>
            </w:tcMar>
            <w:vAlign w:val="center"/>
          </w:tcPr>
          <w:p w14:paraId="2DD11A92" w14:textId="77777777" w:rsidR="000510AC" w:rsidRDefault="000510AC" w:rsidP="001B288A">
            <w:pPr>
              <w:keepNext/>
            </w:pPr>
            <w:r>
              <w:rPr>
                <w:rFonts w:ascii="Calibri" w:eastAsia="Calibri" w:hAnsi="Calibri" w:cs="Calibri"/>
                <w:i/>
                <w:color w:val="000000"/>
                <w:sz w:val="18"/>
              </w:rPr>
              <w:t>(</w:t>
            </w:r>
            <w:proofErr w:type="gramStart"/>
            <w:r>
              <w:rPr>
                <w:rFonts w:ascii="Calibri" w:eastAsia="Calibri" w:hAnsi="Calibri" w:cs="Calibri"/>
                <w:i/>
                <w:color w:val="000000"/>
                <w:sz w:val="18"/>
              </w:rPr>
              <w:t>all</w:t>
            </w:r>
            <w:proofErr w:type="gramEnd"/>
            <w:r>
              <w:rPr>
                <w:rFonts w:ascii="Calibri" w:eastAsia="Calibri" w:hAnsi="Calibri" w:cs="Calibri"/>
                <w:i/>
                <w:color w:val="000000"/>
                <w:sz w:val="18"/>
              </w:rPr>
              <w:t xml:space="preserve"> amounts in Euro thousands)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9F50F48" w14:textId="77777777" w:rsidR="000510AC" w:rsidRDefault="000510AC" w:rsidP="001B288A">
            <w:pPr>
              <w:keepNext/>
              <w:spacing w:before="33" w:after="30"/>
            </w:pPr>
          </w:p>
        </w:tc>
        <w:tc>
          <w:tcPr>
            <w:tcW w:w="1693" w:type="dxa"/>
            <w:tcBorders>
              <w:top w:val="single" w:sz="8" w:space="0" w:color="4F81BD"/>
              <w:left w:val="nil"/>
              <w:bottom w:val="nil"/>
              <w:right w:val="nil"/>
            </w:tcBorders>
            <w:shd w:val="clear" w:color="auto" w:fill="DDDDDD"/>
            <w:tcMar>
              <w:top w:w="0" w:type="dxa"/>
              <w:left w:w="0" w:type="dxa"/>
              <w:bottom w:w="0" w:type="dxa"/>
              <w:right w:w="53" w:type="dxa"/>
            </w:tcMar>
            <w:vAlign w:val="bottom"/>
          </w:tcPr>
          <w:p w14:paraId="5958187E" w14:textId="77777777" w:rsidR="000510AC" w:rsidRDefault="000510AC" w:rsidP="001B288A">
            <w:pPr>
              <w:keepNext/>
              <w:spacing w:before="33" w:after="30"/>
              <w:jc w:val="right"/>
            </w:pPr>
            <w:r>
              <w:rPr>
                <w:rFonts w:ascii="Calibri" w:eastAsia="Calibri" w:hAnsi="Calibri" w:cs="Calibri"/>
                <w:b/>
                <w:color w:val="000000"/>
                <w:sz w:val="21"/>
              </w:rPr>
              <w:t>2022</w:t>
            </w:r>
          </w:p>
        </w:tc>
        <w:tc>
          <w:tcPr>
            <w:tcW w:w="136" w:type="dxa"/>
            <w:tcBorders>
              <w:top w:val="single" w:sz="4" w:space="0" w:color="026DCE"/>
              <w:left w:val="nil"/>
              <w:bottom w:val="nil"/>
              <w:right w:val="nil"/>
            </w:tcBorders>
            <w:shd w:val="clear" w:color="auto" w:fill="FFFFFF"/>
            <w:tcMar>
              <w:top w:w="0" w:type="dxa"/>
              <w:left w:w="0" w:type="dxa"/>
              <w:bottom w:w="0" w:type="dxa"/>
              <w:right w:w="53" w:type="dxa"/>
            </w:tcMar>
            <w:vAlign w:val="bottom"/>
          </w:tcPr>
          <w:p w14:paraId="23B083B9" w14:textId="77777777" w:rsidR="000510AC" w:rsidRDefault="000510AC" w:rsidP="001B288A">
            <w:pPr>
              <w:keepNext/>
              <w:spacing w:before="33" w:after="30"/>
              <w:jc w:val="right"/>
            </w:pPr>
          </w:p>
        </w:tc>
        <w:tc>
          <w:tcPr>
            <w:tcW w:w="1695" w:type="dxa"/>
            <w:tcBorders>
              <w:top w:val="single" w:sz="8" w:space="0" w:color="4F81BD"/>
              <w:left w:val="nil"/>
              <w:bottom w:val="nil"/>
              <w:right w:val="nil"/>
            </w:tcBorders>
            <w:shd w:val="clear" w:color="auto" w:fill="FFFFFF"/>
            <w:tcMar>
              <w:top w:w="0" w:type="dxa"/>
              <w:left w:w="0" w:type="dxa"/>
              <w:bottom w:w="0" w:type="dxa"/>
              <w:right w:w="53" w:type="dxa"/>
            </w:tcMar>
            <w:vAlign w:val="bottom"/>
          </w:tcPr>
          <w:p w14:paraId="45BA23E7" w14:textId="77777777" w:rsidR="000510AC" w:rsidRDefault="000510AC" w:rsidP="001B288A">
            <w:pPr>
              <w:keepNext/>
              <w:spacing w:before="33" w:after="30"/>
              <w:jc w:val="right"/>
            </w:pPr>
            <w:r>
              <w:rPr>
                <w:rFonts w:ascii="Calibri" w:eastAsia="Calibri" w:hAnsi="Calibri" w:cs="Calibri"/>
                <w:b/>
                <w:color w:val="000000"/>
                <w:sz w:val="21"/>
              </w:rPr>
              <w:t>2021</w:t>
            </w:r>
          </w:p>
        </w:tc>
      </w:tr>
      <w:tr w:rsidR="0002184F" w14:paraId="6C29F0B2" w14:textId="77777777" w:rsidTr="00CD0B6A">
        <w:trPr>
          <w:gridAfter w:val="1"/>
          <w:wAfter w:w="6" w:type="dxa"/>
          <w:cantSplit/>
          <w:trHeight w:hRule="exact" w:val="325"/>
        </w:trPr>
        <w:tc>
          <w:tcPr>
            <w:tcW w:w="6203" w:type="dxa"/>
            <w:tcBorders>
              <w:top w:val="nil"/>
              <w:left w:val="nil"/>
              <w:bottom w:val="nil"/>
              <w:right w:val="nil"/>
            </w:tcBorders>
            <w:shd w:val="clear" w:color="auto" w:fill="FFFFFF"/>
            <w:tcMar>
              <w:top w:w="0" w:type="dxa"/>
              <w:left w:w="53" w:type="dxa"/>
              <w:bottom w:w="0" w:type="dxa"/>
              <w:right w:w="53" w:type="dxa"/>
            </w:tcMar>
            <w:vAlign w:val="center"/>
          </w:tcPr>
          <w:p w14:paraId="4E708143" w14:textId="77777777" w:rsidR="000510AC" w:rsidRDefault="000510AC" w:rsidP="001B288A">
            <w:pPr>
              <w:keepNex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D1BBD35" w14:textId="77777777" w:rsidR="000510AC" w:rsidRDefault="000510AC" w:rsidP="001B288A">
            <w:pPr>
              <w:keepNext/>
              <w:spacing w:before="33" w:after="30"/>
            </w:pPr>
          </w:p>
        </w:tc>
        <w:tc>
          <w:tcPr>
            <w:tcW w:w="1693"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3C367A3D" w14:textId="77777777" w:rsidR="000510AC" w:rsidRDefault="000510AC" w:rsidP="001B288A">
            <w:pPr>
              <w:keepNext/>
              <w:spacing w:before="33" w:after="30"/>
              <w:jc w:val="right"/>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10FC43CA" w14:textId="77777777" w:rsidR="000510AC" w:rsidRDefault="000510AC" w:rsidP="001B288A">
            <w:pPr>
              <w:keepNext/>
              <w:spacing w:before="33" w:after="30"/>
            </w:pPr>
          </w:p>
        </w:tc>
        <w:tc>
          <w:tcPr>
            <w:tcW w:w="169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38C156C1" w14:textId="77777777" w:rsidR="000510AC" w:rsidRDefault="000510AC" w:rsidP="001B288A">
            <w:pPr>
              <w:keepNext/>
              <w:spacing w:before="33" w:after="30"/>
            </w:pPr>
          </w:p>
        </w:tc>
      </w:tr>
      <w:tr w:rsidR="0002184F" w14:paraId="53B39AE5" w14:textId="77777777" w:rsidTr="00CD0B6A">
        <w:trPr>
          <w:gridAfter w:val="1"/>
          <w:wAfter w:w="6" w:type="dxa"/>
          <w:cantSplit/>
          <w:trHeight w:hRule="exact" w:val="325"/>
        </w:trPr>
        <w:tc>
          <w:tcPr>
            <w:tcW w:w="6203" w:type="dxa"/>
            <w:tcBorders>
              <w:top w:val="nil"/>
              <w:left w:val="nil"/>
              <w:bottom w:val="single" w:sz="8" w:space="0" w:color="4F81BD"/>
              <w:right w:val="nil"/>
            </w:tcBorders>
            <w:shd w:val="clear" w:color="auto" w:fill="FFFFFF"/>
            <w:tcMar>
              <w:top w:w="0" w:type="dxa"/>
              <w:left w:w="53" w:type="dxa"/>
              <w:bottom w:w="0" w:type="dxa"/>
              <w:right w:w="53" w:type="dxa"/>
            </w:tcMar>
            <w:vAlign w:val="bottom"/>
          </w:tcPr>
          <w:p w14:paraId="2003BA8D" w14:textId="77777777" w:rsidR="000510AC" w:rsidRDefault="000510AC" w:rsidP="001B288A">
            <w:pPr>
              <w:keepNext/>
              <w:spacing w:before="53" w:after="30"/>
            </w:pPr>
            <w:r>
              <w:rPr>
                <w:rFonts w:ascii="Calibri" w:eastAsia="Calibri" w:hAnsi="Calibri" w:cs="Calibri"/>
                <w:b/>
                <w:color w:val="4F81BD"/>
              </w:rPr>
              <w:t>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A187DA0" w14:textId="77777777" w:rsidR="000510AC" w:rsidRDefault="000510AC" w:rsidP="001B288A">
            <w:pPr>
              <w:keepNext/>
              <w:spacing w:before="53" w:after="30"/>
              <w:jc w:val="center"/>
            </w:pPr>
          </w:p>
        </w:tc>
        <w:tc>
          <w:tcPr>
            <w:tcW w:w="1693" w:type="dxa"/>
            <w:tcBorders>
              <w:top w:val="nil"/>
              <w:left w:val="nil"/>
              <w:bottom w:val="single" w:sz="8" w:space="0" w:color="4F81BD"/>
              <w:right w:val="nil"/>
            </w:tcBorders>
            <w:shd w:val="clear" w:color="auto" w:fill="FFFFFF"/>
            <w:tcMar>
              <w:top w:w="0" w:type="dxa"/>
              <w:left w:w="53" w:type="dxa"/>
              <w:bottom w:w="0" w:type="dxa"/>
              <w:right w:w="53" w:type="dxa"/>
            </w:tcMar>
            <w:vAlign w:val="bottom"/>
          </w:tcPr>
          <w:p w14:paraId="28984B21" w14:textId="77777777" w:rsidR="000510AC" w:rsidRDefault="000510AC" w:rsidP="001B288A">
            <w:pPr>
              <w:keepNext/>
              <w:spacing w:before="53" w:after="30"/>
              <w:jc w:val="center"/>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586E8F5" w14:textId="77777777" w:rsidR="000510AC" w:rsidRDefault="000510AC" w:rsidP="001B288A">
            <w:pPr>
              <w:keepNext/>
              <w:spacing w:before="53" w:after="30"/>
              <w:jc w:val="center"/>
            </w:pPr>
          </w:p>
        </w:tc>
        <w:tc>
          <w:tcPr>
            <w:tcW w:w="1695" w:type="dxa"/>
            <w:tcBorders>
              <w:top w:val="nil"/>
              <w:left w:val="nil"/>
              <w:bottom w:val="single" w:sz="8" w:space="0" w:color="4F81BD"/>
              <w:right w:val="nil"/>
            </w:tcBorders>
            <w:shd w:val="clear" w:color="auto" w:fill="FFFFFF"/>
            <w:tcMar>
              <w:top w:w="0" w:type="dxa"/>
              <w:left w:w="53" w:type="dxa"/>
              <w:bottom w:w="0" w:type="dxa"/>
              <w:right w:w="53" w:type="dxa"/>
            </w:tcMar>
            <w:vAlign w:val="bottom"/>
          </w:tcPr>
          <w:p w14:paraId="53A3F324" w14:textId="77777777" w:rsidR="000510AC" w:rsidRDefault="000510AC" w:rsidP="001B288A">
            <w:pPr>
              <w:keepNext/>
              <w:spacing w:before="53" w:after="30"/>
              <w:jc w:val="center"/>
            </w:pPr>
          </w:p>
        </w:tc>
      </w:tr>
      <w:tr w:rsidR="0002184F" w14:paraId="2AF33772" w14:textId="77777777" w:rsidTr="00CD0B6A">
        <w:trPr>
          <w:gridAfter w:val="1"/>
          <w:wAfter w:w="6" w:type="dxa"/>
          <w:cantSplit/>
          <w:trHeight w:hRule="exact" w:val="325"/>
        </w:trPr>
        <w:tc>
          <w:tcPr>
            <w:tcW w:w="6203" w:type="dxa"/>
            <w:tcBorders>
              <w:top w:val="single" w:sz="8" w:space="0" w:color="4F81BD"/>
              <w:left w:val="nil"/>
              <w:bottom w:val="single" w:sz="2" w:space="0" w:color="000000"/>
              <w:right w:val="nil"/>
            </w:tcBorders>
            <w:shd w:val="clear" w:color="auto" w:fill="FFFFFF"/>
            <w:tcMar>
              <w:top w:w="0" w:type="dxa"/>
              <w:left w:w="53" w:type="dxa"/>
              <w:bottom w:w="0" w:type="dxa"/>
              <w:right w:w="53" w:type="dxa"/>
            </w:tcMar>
            <w:vAlign w:val="bottom"/>
          </w:tcPr>
          <w:p w14:paraId="2C4A35D5" w14:textId="4E88BCB0" w:rsidR="000510AC" w:rsidRDefault="000510AC" w:rsidP="001B288A">
            <w:pPr>
              <w:keepNext/>
              <w:spacing w:before="33" w:after="30"/>
            </w:pPr>
            <w:r>
              <w:rPr>
                <w:rFonts w:ascii="Calibri" w:eastAsia="Calibri" w:hAnsi="Calibri" w:cs="Calibri"/>
                <w:color w:val="000000"/>
                <w:sz w:val="21"/>
              </w:rPr>
              <w:t xml:space="preserve">Property, plant &amp; </w:t>
            </w:r>
            <w:proofErr w:type="gramStart"/>
            <w:r>
              <w:rPr>
                <w:rFonts w:ascii="Calibri" w:eastAsia="Calibri" w:hAnsi="Calibri" w:cs="Calibri"/>
                <w:color w:val="000000"/>
                <w:sz w:val="21"/>
              </w:rPr>
              <w:t>equipment</w:t>
            </w:r>
            <w:proofErr w:type="gramEnd"/>
            <w:r>
              <w:rPr>
                <w:rFonts w:ascii="Calibri" w:eastAsia="Calibri" w:hAnsi="Calibri" w:cs="Calibri"/>
                <w:color w:val="000000"/>
                <w:sz w:val="21"/>
              </w:rPr>
              <w:t xml:space="preserve"> and investment property</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60002C6" w14:textId="77777777" w:rsidR="000510AC" w:rsidRDefault="000510AC" w:rsidP="001B288A">
            <w:pPr>
              <w:keepNext/>
              <w:spacing w:before="33" w:after="30"/>
              <w:jc w:val="right"/>
            </w:pPr>
          </w:p>
        </w:tc>
        <w:tc>
          <w:tcPr>
            <w:tcW w:w="1693" w:type="dxa"/>
            <w:tcBorders>
              <w:top w:val="single" w:sz="8" w:space="0" w:color="4F81BD"/>
              <w:left w:val="nil"/>
              <w:bottom w:val="single" w:sz="2" w:space="0" w:color="000000"/>
              <w:right w:val="nil"/>
            </w:tcBorders>
            <w:shd w:val="clear" w:color="auto" w:fill="DDDDDD"/>
            <w:tcMar>
              <w:top w:w="0" w:type="dxa"/>
              <w:left w:w="0" w:type="dxa"/>
              <w:bottom w:w="0" w:type="dxa"/>
              <w:right w:w="53" w:type="dxa"/>
            </w:tcMar>
            <w:vAlign w:val="bottom"/>
          </w:tcPr>
          <w:p w14:paraId="397729F7" w14:textId="77777777" w:rsidR="000510AC" w:rsidRDefault="000510AC" w:rsidP="001B288A">
            <w:pPr>
              <w:keepNext/>
              <w:spacing w:before="33" w:after="30"/>
              <w:jc w:val="right"/>
            </w:pPr>
            <w:r>
              <w:rPr>
                <w:rFonts w:ascii="Calibri" w:eastAsia="Calibri" w:hAnsi="Calibri" w:cs="Calibri"/>
                <w:color w:val="000000"/>
                <w:sz w:val="21"/>
              </w:rPr>
              <w:t>1,675,714</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2B91BFE0" w14:textId="77777777" w:rsidR="000510AC" w:rsidRDefault="000510AC" w:rsidP="001B288A">
            <w:pPr>
              <w:keepNext/>
              <w:spacing w:before="33" w:after="30"/>
              <w:jc w:val="right"/>
            </w:pPr>
          </w:p>
        </w:tc>
        <w:tc>
          <w:tcPr>
            <w:tcW w:w="1695" w:type="dxa"/>
            <w:tcBorders>
              <w:top w:val="single" w:sz="8" w:space="0" w:color="4F81BD"/>
              <w:left w:val="nil"/>
              <w:bottom w:val="single" w:sz="2" w:space="0" w:color="000000"/>
              <w:right w:val="nil"/>
            </w:tcBorders>
            <w:shd w:val="clear" w:color="auto" w:fill="FFFFFF"/>
            <w:tcMar>
              <w:top w:w="0" w:type="dxa"/>
              <w:left w:w="0" w:type="dxa"/>
              <w:bottom w:w="0" w:type="dxa"/>
              <w:right w:w="53" w:type="dxa"/>
            </w:tcMar>
            <w:vAlign w:val="bottom"/>
          </w:tcPr>
          <w:p w14:paraId="117AB15F" w14:textId="77777777" w:rsidR="000510AC" w:rsidRDefault="000510AC" w:rsidP="001B288A">
            <w:pPr>
              <w:keepNext/>
              <w:spacing w:before="33" w:after="30"/>
              <w:jc w:val="right"/>
            </w:pPr>
            <w:r>
              <w:rPr>
                <w:rFonts w:ascii="Calibri" w:eastAsia="Calibri" w:hAnsi="Calibri" w:cs="Calibri"/>
                <w:color w:val="000000"/>
                <w:sz w:val="21"/>
              </w:rPr>
              <w:t>1,556,362</w:t>
            </w:r>
          </w:p>
        </w:tc>
      </w:tr>
      <w:tr w:rsidR="0002184F" w14:paraId="36930186"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FA2D127" w14:textId="77777777" w:rsidR="000510AC" w:rsidRDefault="000510AC" w:rsidP="001B288A">
            <w:pPr>
              <w:keepNext/>
              <w:spacing w:before="48" w:after="30"/>
            </w:pPr>
            <w:r>
              <w:rPr>
                <w:rFonts w:ascii="Calibri" w:eastAsia="Calibri" w:hAnsi="Calibri" w:cs="Calibri"/>
                <w:color w:val="000000"/>
                <w:sz w:val="21"/>
              </w:rPr>
              <w:t>Intangible assets and goodwill</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43E9C9C" w14:textId="77777777" w:rsidR="000510AC" w:rsidRDefault="000510AC" w:rsidP="001B288A">
            <w:pPr>
              <w:keepNext/>
              <w:spacing w:before="48" w:after="30"/>
              <w:jc w:val="right"/>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10AE589" w14:textId="77777777" w:rsidR="000510AC" w:rsidRDefault="000510AC" w:rsidP="001B288A">
            <w:pPr>
              <w:keepNext/>
              <w:spacing w:before="48" w:after="30"/>
              <w:jc w:val="right"/>
            </w:pPr>
            <w:r>
              <w:rPr>
                <w:rFonts w:ascii="Calibri" w:eastAsia="Calibri" w:hAnsi="Calibri" w:cs="Calibri"/>
                <w:color w:val="000000"/>
                <w:sz w:val="21"/>
              </w:rPr>
              <w:t>364,707</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A14A2F1"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4BBE028" w14:textId="77777777" w:rsidR="000510AC" w:rsidRDefault="000510AC" w:rsidP="001B288A">
            <w:pPr>
              <w:keepNext/>
              <w:spacing w:before="48" w:after="30"/>
              <w:jc w:val="right"/>
            </w:pPr>
            <w:r>
              <w:rPr>
                <w:rFonts w:ascii="Calibri" w:eastAsia="Calibri" w:hAnsi="Calibri" w:cs="Calibri"/>
                <w:color w:val="000000"/>
                <w:sz w:val="21"/>
              </w:rPr>
              <w:t>363,430</w:t>
            </w:r>
          </w:p>
        </w:tc>
      </w:tr>
      <w:tr w:rsidR="0002184F" w14:paraId="2C064876" w14:textId="77777777" w:rsidTr="00CD0B6A">
        <w:trPr>
          <w:gridAfter w:val="1"/>
          <w:wAfter w:w="6" w:type="dxa"/>
          <w:cantSplit/>
          <w:trHeight w:hRule="exact" w:val="325"/>
        </w:trPr>
        <w:tc>
          <w:tcPr>
            <w:tcW w:w="6203" w:type="dxa"/>
            <w:tcBorders>
              <w:top w:val="single" w:sz="2" w:space="0" w:color="000000"/>
              <w:left w:val="nil"/>
              <w:bottom w:val="nil"/>
              <w:right w:val="nil"/>
            </w:tcBorders>
            <w:shd w:val="clear" w:color="auto" w:fill="FFFFFF"/>
            <w:tcMar>
              <w:top w:w="0" w:type="dxa"/>
              <w:left w:w="53" w:type="dxa"/>
              <w:bottom w:w="0" w:type="dxa"/>
              <w:right w:w="53" w:type="dxa"/>
            </w:tcMar>
            <w:vAlign w:val="bottom"/>
          </w:tcPr>
          <w:p w14:paraId="40AE44DA" w14:textId="77777777" w:rsidR="000510AC" w:rsidRDefault="000510AC" w:rsidP="001B288A">
            <w:pPr>
              <w:keepNext/>
              <w:spacing w:before="48" w:after="30"/>
            </w:pPr>
            <w:r>
              <w:rPr>
                <w:rFonts w:ascii="Calibri" w:eastAsia="Calibri" w:hAnsi="Calibri" w:cs="Calibri"/>
                <w:color w:val="000000"/>
                <w:sz w:val="21"/>
              </w:rPr>
              <w:t>Investments in associates and joint ventures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8942A7F" w14:textId="77777777" w:rsidR="000510AC" w:rsidRDefault="000510AC" w:rsidP="001B288A">
            <w:pPr>
              <w:keepNext/>
              <w:spacing w:before="48" w:after="30"/>
              <w:jc w:val="center"/>
            </w:pPr>
          </w:p>
        </w:tc>
        <w:tc>
          <w:tcPr>
            <w:tcW w:w="1693"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672F3907" w14:textId="77777777" w:rsidR="000510AC" w:rsidRDefault="000510AC" w:rsidP="001B288A">
            <w:pPr>
              <w:keepNext/>
              <w:spacing w:before="48" w:after="30"/>
              <w:jc w:val="right"/>
            </w:pPr>
            <w:r>
              <w:rPr>
                <w:rFonts w:ascii="Calibri" w:eastAsia="Calibri" w:hAnsi="Calibri" w:cs="Calibri"/>
                <w:color w:val="000000"/>
                <w:sz w:val="21"/>
              </w:rPr>
              <w:t>100,412</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9ABBB27" w14:textId="77777777" w:rsidR="000510AC" w:rsidRDefault="000510AC" w:rsidP="001B288A">
            <w:pPr>
              <w:keepNext/>
              <w:spacing w:before="48" w:after="30"/>
              <w:jc w:val="right"/>
            </w:pPr>
          </w:p>
        </w:tc>
        <w:tc>
          <w:tcPr>
            <w:tcW w:w="1695"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6C379970" w14:textId="77777777" w:rsidR="000510AC" w:rsidRDefault="000510AC" w:rsidP="001B288A">
            <w:pPr>
              <w:keepNext/>
              <w:spacing w:before="48" w:after="30"/>
              <w:jc w:val="right"/>
            </w:pPr>
            <w:r>
              <w:rPr>
                <w:rFonts w:ascii="Calibri" w:eastAsia="Calibri" w:hAnsi="Calibri" w:cs="Calibri"/>
                <w:color w:val="000000"/>
                <w:sz w:val="21"/>
              </w:rPr>
              <w:t>88,753</w:t>
            </w:r>
          </w:p>
        </w:tc>
      </w:tr>
      <w:tr w:rsidR="0002184F" w14:paraId="636CC9FB"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816AA91" w14:textId="77777777" w:rsidR="000510AC" w:rsidRDefault="000510AC" w:rsidP="001B288A">
            <w:pPr>
              <w:keepNext/>
              <w:spacing w:before="48" w:after="30"/>
            </w:pPr>
            <w:r>
              <w:rPr>
                <w:rFonts w:ascii="Calibri" w:eastAsia="Calibri" w:hAnsi="Calibri" w:cs="Calibri"/>
                <w:color w:val="000000"/>
                <w:sz w:val="21"/>
              </w:rPr>
              <w:t>Other non-current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89A2C07"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D9800F3" w14:textId="77777777" w:rsidR="000510AC" w:rsidRDefault="000510AC" w:rsidP="001B288A">
            <w:pPr>
              <w:keepNext/>
              <w:spacing w:before="48" w:after="30"/>
              <w:jc w:val="right"/>
            </w:pPr>
            <w:r>
              <w:rPr>
                <w:rFonts w:ascii="Calibri" w:eastAsia="Calibri" w:hAnsi="Calibri" w:cs="Calibri"/>
                <w:color w:val="000000"/>
                <w:sz w:val="21"/>
              </w:rPr>
              <w:t>35,515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B696682"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58E695D" w14:textId="77777777" w:rsidR="000510AC" w:rsidRDefault="000510AC" w:rsidP="001B288A">
            <w:pPr>
              <w:keepNext/>
              <w:spacing w:before="48" w:after="30"/>
              <w:jc w:val="right"/>
            </w:pPr>
            <w:r>
              <w:rPr>
                <w:rFonts w:ascii="Calibri" w:eastAsia="Calibri" w:hAnsi="Calibri" w:cs="Calibri"/>
                <w:color w:val="000000"/>
                <w:sz w:val="21"/>
              </w:rPr>
              <w:t>27,229</w:t>
            </w:r>
          </w:p>
        </w:tc>
      </w:tr>
      <w:tr w:rsidR="0002184F" w14:paraId="41D54A57"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F8DA109" w14:textId="77777777" w:rsidR="000510AC" w:rsidRDefault="000510AC" w:rsidP="001B288A">
            <w:pPr>
              <w:keepNext/>
              <w:spacing w:before="48" w:after="30"/>
            </w:pPr>
            <w:r>
              <w:rPr>
                <w:rFonts w:ascii="Calibri" w:eastAsia="Calibri" w:hAnsi="Calibri" w:cs="Calibri"/>
                <w:color w:val="000000"/>
                <w:sz w:val="21"/>
              </w:rPr>
              <w:t>Deferred tax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767C3F7"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2D5B193" w14:textId="77777777" w:rsidR="000510AC" w:rsidRDefault="000510AC" w:rsidP="001B288A">
            <w:pPr>
              <w:keepNext/>
              <w:spacing w:before="48" w:after="30"/>
              <w:jc w:val="right"/>
            </w:pPr>
            <w:r>
              <w:rPr>
                <w:rFonts w:ascii="Calibri" w:eastAsia="Calibri" w:hAnsi="Calibri" w:cs="Calibri"/>
                <w:color w:val="000000"/>
                <w:sz w:val="21"/>
              </w:rPr>
              <w:t>5,730</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B0A1BE3"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DDC91E1" w14:textId="77777777" w:rsidR="000510AC" w:rsidRDefault="000510AC" w:rsidP="001B288A">
            <w:pPr>
              <w:keepNext/>
              <w:spacing w:before="48" w:after="30"/>
              <w:jc w:val="right"/>
            </w:pPr>
            <w:r>
              <w:rPr>
                <w:rFonts w:ascii="Calibri" w:eastAsia="Calibri" w:hAnsi="Calibri" w:cs="Calibri"/>
                <w:color w:val="000000"/>
                <w:sz w:val="21"/>
              </w:rPr>
              <w:t>8,867</w:t>
            </w:r>
          </w:p>
        </w:tc>
      </w:tr>
      <w:tr w:rsidR="0002184F" w14:paraId="4B1C3CF3"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2E91D122" w14:textId="77777777" w:rsidR="000510AC" w:rsidRDefault="000510AC" w:rsidP="001B288A">
            <w:pPr>
              <w:keepNext/>
              <w:spacing w:before="48" w:after="30"/>
            </w:pPr>
            <w:r>
              <w:rPr>
                <w:rFonts w:ascii="Calibri" w:eastAsia="Calibri" w:hAnsi="Calibri" w:cs="Calibri"/>
                <w:b/>
                <w:color w:val="000000"/>
                <w:sz w:val="21"/>
              </w:rPr>
              <w:t>Total non-current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2B10E3EA"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2044453" w14:textId="77777777" w:rsidR="000510AC" w:rsidRDefault="000510AC" w:rsidP="001B288A">
            <w:pPr>
              <w:keepNext/>
              <w:spacing w:before="48" w:after="30"/>
              <w:jc w:val="right"/>
            </w:pPr>
            <w:r>
              <w:rPr>
                <w:rFonts w:ascii="Calibri" w:eastAsia="Calibri" w:hAnsi="Calibri" w:cs="Calibri"/>
                <w:b/>
                <w:color w:val="000000"/>
                <w:sz w:val="21"/>
              </w:rPr>
              <w:t>2,182,078</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8BE0676"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D0A9C54" w14:textId="77777777" w:rsidR="000510AC" w:rsidRDefault="000510AC" w:rsidP="001B288A">
            <w:pPr>
              <w:keepNext/>
              <w:spacing w:before="48" w:after="30"/>
              <w:jc w:val="right"/>
            </w:pPr>
            <w:r>
              <w:rPr>
                <w:rFonts w:ascii="Calibri" w:eastAsia="Calibri" w:hAnsi="Calibri" w:cs="Calibri"/>
                <w:b/>
                <w:color w:val="000000"/>
                <w:sz w:val="21"/>
              </w:rPr>
              <w:t>2,044,641</w:t>
            </w:r>
          </w:p>
        </w:tc>
      </w:tr>
      <w:tr w:rsidR="0002184F" w14:paraId="4CF1C622"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55B08A0"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066AD80"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E1AFD5C"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C76A7E9"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F146849" w14:textId="77777777" w:rsidR="000510AC" w:rsidRDefault="000510AC" w:rsidP="001B288A">
            <w:pPr>
              <w:keepNext/>
              <w:spacing w:before="48" w:after="30"/>
              <w:jc w:val="right"/>
            </w:pPr>
          </w:p>
        </w:tc>
      </w:tr>
      <w:tr w:rsidR="0002184F" w14:paraId="2088E42E"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724AEBE0" w14:textId="77777777" w:rsidR="000510AC" w:rsidRDefault="000510AC" w:rsidP="001B288A">
            <w:pPr>
              <w:keepNext/>
              <w:spacing w:before="48" w:after="30"/>
            </w:pPr>
            <w:r>
              <w:rPr>
                <w:rFonts w:ascii="Calibri" w:eastAsia="Calibri" w:hAnsi="Calibri" w:cs="Calibri"/>
                <w:color w:val="000000"/>
                <w:sz w:val="21"/>
              </w:rPr>
              <w:t>Inventories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F47F54C" w14:textId="77777777" w:rsidR="000510AC" w:rsidRDefault="000510AC" w:rsidP="001B288A">
            <w:pPr>
              <w:keepNext/>
              <w:spacing w:before="48" w:after="30"/>
              <w:jc w:val="right"/>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69A4771" w14:textId="77777777" w:rsidR="000510AC" w:rsidRDefault="000510AC" w:rsidP="001B288A">
            <w:pPr>
              <w:keepNext/>
              <w:spacing w:before="48" w:after="30"/>
              <w:jc w:val="right"/>
            </w:pPr>
            <w:r>
              <w:rPr>
                <w:rFonts w:ascii="Calibri" w:eastAsia="Calibri" w:hAnsi="Calibri" w:cs="Calibri"/>
                <w:color w:val="000000"/>
                <w:sz w:val="21"/>
              </w:rPr>
              <w:t>394,672</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27B383EF"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CD91F0C" w14:textId="77777777" w:rsidR="000510AC" w:rsidRDefault="000510AC" w:rsidP="001B288A">
            <w:pPr>
              <w:keepNext/>
              <w:spacing w:before="48" w:after="30"/>
              <w:jc w:val="right"/>
            </w:pPr>
            <w:r>
              <w:rPr>
                <w:rFonts w:ascii="Calibri" w:eastAsia="Calibri" w:hAnsi="Calibri" w:cs="Calibri"/>
                <w:color w:val="000000"/>
                <w:sz w:val="21"/>
              </w:rPr>
              <w:t>305,131</w:t>
            </w:r>
          </w:p>
        </w:tc>
      </w:tr>
      <w:tr w:rsidR="0002184F" w14:paraId="2BBBF3E1"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EA683DD" w14:textId="77777777" w:rsidR="000510AC" w:rsidRDefault="000510AC" w:rsidP="001B288A">
            <w:pPr>
              <w:keepNext/>
              <w:spacing w:before="48" w:after="30"/>
            </w:pPr>
            <w:r>
              <w:rPr>
                <w:rFonts w:ascii="Calibri" w:eastAsia="Calibri" w:hAnsi="Calibri" w:cs="Calibri"/>
                <w:color w:val="000000"/>
                <w:sz w:val="21"/>
              </w:rPr>
              <w:t xml:space="preserve">Receivables, </w:t>
            </w:r>
            <w:proofErr w:type="gramStart"/>
            <w:r>
              <w:rPr>
                <w:rFonts w:ascii="Calibri" w:eastAsia="Calibri" w:hAnsi="Calibri" w:cs="Calibri"/>
                <w:color w:val="000000"/>
                <w:sz w:val="21"/>
              </w:rPr>
              <w:t>prepayments</w:t>
            </w:r>
            <w:proofErr w:type="gramEnd"/>
            <w:r>
              <w:rPr>
                <w:rFonts w:ascii="Calibri" w:eastAsia="Calibri" w:hAnsi="Calibri" w:cs="Calibri"/>
                <w:color w:val="000000"/>
                <w:sz w:val="21"/>
              </w:rPr>
              <w:t xml:space="preserve"> and other current assets</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51D963F" w14:textId="77777777" w:rsidR="000510AC" w:rsidRDefault="000510AC" w:rsidP="001B288A">
            <w:pPr>
              <w:keepNext/>
              <w:spacing w:before="48" w:after="30"/>
              <w:jc w:val="right"/>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B19A403" w14:textId="77777777" w:rsidR="000510AC" w:rsidRDefault="000510AC" w:rsidP="001B288A">
            <w:pPr>
              <w:keepNext/>
              <w:spacing w:before="48" w:after="30"/>
              <w:jc w:val="right"/>
            </w:pPr>
            <w:r>
              <w:rPr>
                <w:rFonts w:ascii="Calibri" w:eastAsia="Calibri" w:hAnsi="Calibri" w:cs="Calibri"/>
                <w:color w:val="000000"/>
                <w:sz w:val="21"/>
              </w:rPr>
              <w:t>311,846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1B5D89D"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843CA7E" w14:textId="77777777" w:rsidR="000510AC" w:rsidRDefault="000510AC" w:rsidP="001B288A">
            <w:pPr>
              <w:keepNext/>
              <w:spacing w:before="48" w:after="30"/>
              <w:jc w:val="right"/>
            </w:pPr>
            <w:r>
              <w:rPr>
                <w:rFonts w:ascii="Calibri" w:eastAsia="Calibri" w:hAnsi="Calibri" w:cs="Calibri"/>
                <w:color w:val="000000"/>
                <w:sz w:val="21"/>
              </w:rPr>
              <w:t>248,987</w:t>
            </w:r>
          </w:p>
        </w:tc>
      </w:tr>
      <w:tr w:rsidR="0002184F" w14:paraId="7BAC668B"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487C9BD" w14:textId="77777777" w:rsidR="000510AC" w:rsidRDefault="000510AC" w:rsidP="001B288A">
            <w:pPr>
              <w:keepNext/>
              <w:spacing w:before="48" w:after="30"/>
            </w:pPr>
            <w:r>
              <w:rPr>
                <w:rFonts w:ascii="Calibri" w:eastAsia="Calibri" w:hAnsi="Calibri" w:cs="Calibri"/>
                <w:color w:val="000000"/>
                <w:sz w:val="21"/>
              </w:rPr>
              <w:t>Cash and cash equivalents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853510B"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F58F6BA" w14:textId="77777777" w:rsidR="000510AC" w:rsidRDefault="000510AC" w:rsidP="001B288A">
            <w:pPr>
              <w:keepNext/>
              <w:spacing w:before="48" w:after="30"/>
              <w:jc w:val="right"/>
            </w:pPr>
            <w:r>
              <w:rPr>
                <w:rFonts w:ascii="Calibri" w:eastAsia="Calibri" w:hAnsi="Calibri" w:cs="Calibri"/>
                <w:color w:val="000000"/>
                <w:sz w:val="21"/>
              </w:rPr>
              <w:t>105,703</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2FE0E58"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7791876" w14:textId="77777777" w:rsidR="000510AC" w:rsidRDefault="000510AC" w:rsidP="001B288A">
            <w:pPr>
              <w:keepNext/>
              <w:spacing w:before="48" w:after="30"/>
              <w:jc w:val="right"/>
            </w:pPr>
            <w:r>
              <w:rPr>
                <w:rFonts w:ascii="Calibri" w:eastAsia="Calibri" w:hAnsi="Calibri" w:cs="Calibri"/>
                <w:color w:val="000000"/>
                <w:sz w:val="21"/>
              </w:rPr>
              <w:t>79,882</w:t>
            </w:r>
          </w:p>
        </w:tc>
      </w:tr>
      <w:tr w:rsidR="0002184F" w14:paraId="3D5E2313"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FE6D01E" w14:textId="77777777" w:rsidR="000510AC" w:rsidRDefault="000510AC" w:rsidP="001B288A">
            <w:pPr>
              <w:keepNext/>
              <w:spacing w:before="48" w:after="30"/>
            </w:pPr>
            <w:r>
              <w:rPr>
                <w:rFonts w:ascii="Calibri" w:eastAsia="Calibri" w:hAnsi="Calibri" w:cs="Calibri"/>
                <w:b/>
                <w:color w:val="000000"/>
                <w:sz w:val="21"/>
              </w:rPr>
              <w:t>Total current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4CADED8"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5D3FD68" w14:textId="77777777" w:rsidR="000510AC" w:rsidRDefault="000510AC" w:rsidP="001B288A">
            <w:pPr>
              <w:keepNext/>
              <w:spacing w:before="48" w:after="30"/>
              <w:jc w:val="right"/>
            </w:pPr>
            <w:r>
              <w:rPr>
                <w:rFonts w:ascii="Calibri" w:eastAsia="Calibri" w:hAnsi="Calibri" w:cs="Calibri"/>
                <w:b/>
                <w:color w:val="000000"/>
                <w:sz w:val="21"/>
              </w:rPr>
              <w:t>812,221</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0AD38DA"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06AD445" w14:textId="77777777" w:rsidR="000510AC" w:rsidRDefault="000510AC" w:rsidP="001B288A">
            <w:pPr>
              <w:keepNext/>
              <w:spacing w:before="48" w:after="30"/>
              <w:jc w:val="right"/>
            </w:pPr>
            <w:r>
              <w:rPr>
                <w:rFonts w:ascii="Calibri" w:eastAsia="Calibri" w:hAnsi="Calibri" w:cs="Calibri"/>
                <w:b/>
                <w:color w:val="000000"/>
                <w:sz w:val="21"/>
              </w:rPr>
              <w:t>634,000</w:t>
            </w:r>
          </w:p>
        </w:tc>
      </w:tr>
      <w:tr w:rsidR="0002184F" w14:paraId="24400E25"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F7458BB"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D7CED0E"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C9EF3E0"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8FE9E48"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B0B1C0D" w14:textId="77777777" w:rsidR="000510AC" w:rsidRDefault="000510AC" w:rsidP="001B288A">
            <w:pPr>
              <w:keepNext/>
              <w:spacing w:before="48" w:after="30"/>
              <w:jc w:val="right"/>
            </w:pPr>
          </w:p>
        </w:tc>
      </w:tr>
      <w:tr w:rsidR="0002184F" w14:paraId="5295BDB3" w14:textId="77777777" w:rsidTr="00CD0B6A">
        <w:trPr>
          <w:gridAfter w:val="1"/>
          <w:wAfter w:w="6" w:type="dxa"/>
          <w:cantSplit/>
          <w:trHeight w:hRule="exact" w:val="325"/>
        </w:trPr>
        <w:tc>
          <w:tcPr>
            <w:tcW w:w="6203" w:type="dxa"/>
            <w:tcBorders>
              <w:top w:val="single" w:sz="2" w:space="0" w:color="000000"/>
              <w:left w:val="nil"/>
              <w:bottom w:val="single" w:sz="8" w:space="0" w:color="4F81BD"/>
              <w:right w:val="nil"/>
            </w:tcBorders>
            <w:shd w:val="clear" w:color="auto" w:fill="FFFFFF"/>
            <w:tcMar>
              <w:top w:w="0" w:type="dxa"/>
              <w:left w:w="53" w:type="dxa"/>
              <w:bottom w:w="0" w:type="dxa"/>
              <w:right w:w="53" w:type="dxa"/>
            </w:tcMar>
            <w:vAlign w:val="bottom"/>
          </w:tcPr>
          <w:p w14:paraId="486B58D0" w14:textId="77777777" w:rsidR="000510AC" w:rsidRDefault="000510AC" w:rsidP="001B288A">
            <w:pPr>
              <w:keepNext/>
              <w:spacing w:before="48" w:after="30"/>
            </w:pPr>
            <w:r>
              <w:rPr>
                <w:rFonts w:ascii="Calibri" w:eastAsia="Calibri" w:hAnsi="Calibri" w:cs="Calibri"/>
                <w:b/>
                <w:color w:val="000000"/>
                <w:sz w:val="21"/>
              </w:rPr>
              <w:t>Total Assets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93B0651" w14:textId="77777777" w:rsidR="000510AC" w:rsidRDefault="000510AC" w:rsidP="001B288A">
            <w:pPr>
              <w:keepNext/>
              <w:spacing w:before="48" w:after="30"/>
            </w:pPr>
          </w:p>
        </w:tc>
        <w:tc>
          <w:tcPr>
            <w:tcW w:w="1693"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486E3AB3" w14:textId="77777777" w:rsidR="000510AC" w:rsidRDefault="000510AC" w:rsidP="001B288A">
            <w:pPr>
              <w:keepNext/>
              <w:spacing w:before="48" w:after="30"/>
              <w:jc w:val="right"/>
            </w:pPr>
            <w:r>
              <w:rPr>
                <w:rFonts w:ascii="Calibri" w:eastAsia="Calibri" w:hAnsi="Calibri" w:cs="Calibri"/>
                <w:b/>
                <w:color w:val="000000"/>
                <w:sz w:val="21"/>
              </w:rPr>
              <w:t>2,994,299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7CEC6BC" w14:textId="77777777" w:rsidR="000510AC" w:rsidRDefault="000510AC" w:rsidP="001B288A">
            <w:pPr>
              <w:keepNext/>
              <w:spacing w:before="48" w:after="30"/>
              <w:jc w:val="right"/>
            </w:pPr>
          </w:p>
        </w:tc>
        <w:tc>
          <w:tcPr>
            <w:tcW w:w="1695" w:type="dxa"/>
            <w:tcBorders>
              <w:top w:val="single" w:sz="2" w:space="0" w:color="000000"/>
              <w:left w:val="nil"/>
              <w:bottom w:val="single" w:sz="8" w:space="0" w:color="4F81BD"/>
              <w:right w:val="nil"/>
            </w:tcBorders>
            <w:shd w:val="clear" w:color="auto" w:fill="FFFFFF"/>
            <w:tcMar>
              <w:top w:w="0" w:type="dxa"/>
              <w:left w:w="0" w:type="dxa"/>
              <w:bottom w:w="0" w:type="dxa"/>
              <w:right w:w="53" w:type="dxa"/>
            </w:tcMar>
            <w:vAlign w:val="bottom"/>
          </w:tcPr>
          <w:p w14:paraId="62AAEEBD" w14:textId="77777777" w:rsidR="000510AC" w:rsidRDefault="000510AC" w:rsidP="001B288A">
            <w:pPr>
              <w:keepNext/>
              <w:spacing w:before="48" w:after="30"/>
              <w:jc w:val="right"/>
            </w:pPr>
            <w:r>
              <w:rPr>
                <w:rFonts w:ascii="Calibri" w:eastAsia="Calibri" w:hAnsi="Calibri" w:cs="Calibri"/>
                <w:b/>
                <w:color w:val="000000"/>
                <w:sz w:val="21"/>
              </w:rPr>
              <w:t>2,678,641</w:t>
            </w:r>
          </w:p>
        </w:tc>
      </w:tr>
      <w:tr w:rsidR="0002184F" w14:paraId="436A1E8E" w14:textId="77777777" w:rsidTr="00CD0B6A">
        <w:trPr>
          <w:gridAfter w:val="1"/>
          <w:wAfter w:w="6" w:type="dxa"/>
          <w:cantSplit/>
          <w:trHeight w:hRule="exact" w:val="325"/>
        </w:trPr>
        <w:tc>
          <w:tcPr>
            <w:tcW w:w="6203" w:type="dxa"/>
            <w:tcBorders>
              <w:top w:val="single" w:sz="8" w:space="0" w:color="4F81BD"/>
              <w:left w:val="nil"/>
              <w:bottom w:val="nil"/>
              <w:right w:val="nil"/>
            </w:tcBorders>
            <w:shd w:val="clear" w:color="auto" w:fill="FFFFFF"/>
            <w:tcMar>
              <w:top w:w="0" w:type="dxa"/>
              <w:left w:w="53" w:type="dxa"/>
              <w:bottom w:w="0" w:type="dxa"/>
              <w:right w:w="53" w:type="dxa"/>
            </w:tcMar>
            <w:vAlign w:val="bottom"/>
          </w:tcPr>
          <w:p w14:paraId="559B4B3A" w14:textId="77777777" w:rsidR="000510AC" w:rsidRDefault="000510AC" w:rsidP="001B288A">
            <w:pPr>
              <w:keepNext/>
              <w:spacing w:before="33"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1A1C9AF" w14:textId="77777777" w:rsidR="000510AC" w:rsidRDefault="000510AC" w:rsidP="001B288A">
            <w:pPr>
              <w:keepNext/>
              <w:spacing w:before="33" w:after="30"/>
            </w:pPr>
          </w:p>
        </w:tc>
        <w:tc>
          <w:tcPr>
            <w:tcW w:w="1693" w:type="dxa"/>
            <w:tcBorders>
              <w:top w:val="single" w:sz="8" w:space="0" w:color="4F81BD"/>
              <w:left w:val="nil"/>
              <w:bottom w:val="nil"/>
              <w:right w:val="nil"/>
            </w:tcBorders>
            <w:shd w:val="clear" w:color="auto" w:fill="FFFFFF"/>
            <w:tcMar>
              <w:top w:w="0" w:type="dxa"/>
              <w:left w:w="0" w:type="dxa"/>
              <w:bottom w:w="0" w:type="dxa"/>
              <w:right w:w="53" w:type="dxa"/>
            </w:tcMar>
            <w:vAlign w:val="bottom"/>
          </w:tcPr>
          <w:p w14:paraId="76C321B4" w14:textId="77777777" w:rsidR="000510AC" w:rsidRDefault="000510AC" w:rsidP="001B288A">
            <w:pPr>
              <w:keepNext/>
              <w:spacing w:before="33"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36F0DC25" w14:textId="77777777" w:rsidR="000510AC" w:rsidRDefault="000510AC" w:rsidP="001B288A">
            <w:pPr>
              <w:keepNext/>
              <w:spacing w:before="33" w:after="30"/>
              <w:jc w:val="right"/>
            </w:pPr>
          </w:p>
        </w:tc>
        <w:tc>
          <w:tcPr>
            <w:tcW w:w="1695" w:type="dxa"/>
            <w:tcBorders>
              <w:top w:val="single" w:sz="8" w:space="0" w:color="4F81BD"/>
              <w:left w:val="nil"/>
              <w:bottom w:val="nil"/>
              <w:right w:val="nil"/>
            </w:tcBorders>
            <w:shd w:val="clear" w:color="auto" w:fill="FFFFFF"/>
            <w:tcMar>
              <w:top w:w="0" w:type="dxa"/>
              <w:left w:w="0" w:type="dxa"/>
              <w:bottom w:w="0" w:type="dxa"/>
              <w:right w:w="53" w:type="dxa"/>
            </w:tcMar>
            <w:vAlign w:val="bottom"/>
          </w:tcPr>
          <w:p w14:paraId="513A44B1" w14:textId="77777777" w:rsidR="000510AC" w:rsidRDefault="000510AC" w:rsidP="001B288A">
            <w:pPr>
              <w:keepNext/>
              <w:spacing w:before="33" w:after="30"/>
              <w:jc w:val="right"/>
            </w:pPr>
          </w:p>
        </w:tc>
      </w:tr>
      <w:tr w:rsidR="0002184F" w14:paraId="6C84953A" w14:textId="77777777" w:rsidTr="00CD0B6A">
        <w:trPr>
          <w:gridAfter w:val="1"/>
          <w:wAfter w:w="6" w:type="dxa"/>
          <w:cantSplit/>
          <w:trHeight w:hRule="exact" w:val="325"/>
        </w:trPr>
        <w:tc>
          <w:tcPr>
            <w:tcW w:w="6203" w:type="dxa"/>
            <w:tcBorders>
              <w:top w:val="nil"/>
              <w:left w:val="nil"/>
              <w:bottom w:val="single" w:sz="8" w:space="0" w:color="4F81BD"/>
              <w:right w:val="nil"/>
            </w:tcBorders>
            <w:shd w:val="clear" w:color="auto" w:fill="FFFFFF"/>
            <w:tcMar>
              <w:top w:w="0" w:type="dxa"/>
              <w:left w:w="53" w:type="dxa"/>
              <w:bottom w:w="0" w:type="dxa"/>
              <w:right w:w="53" w:type="dxa"/>
            </w:tcMar>
            <w:vAlign w:val="bottom"/>
          </w:tcPr>
          <w:p w14:paraId="592308C6" w14:textId="77777777" w:rsidR="000510AC" w:rsidRDefault="000510AC" w:rsidP="001B288A">
            <w:pPr>
              <w:keepNext/>
              <w:spacing w:before="53" w:after="30"/>
            </w:pPr>
            <w:r>
              <w:rPr>
                <w:rFonts w:ascii="Calibri" w:eastAsia="Calibri" w:hAnsi="Calibri" w:cs="Calibri"/>
                <w:b/>
                <w:color w:val="4F81BD"/>
              </w:rPr>
              <w:t>Equity and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30146FF1" w14:textId="77777777" w:rsidR="000510AC" w:rsidRDefault="000510AC" w:rsidP="001B288A">
            <w:pPr>
              <w:keepNext/>
              <w:spacing w:before="53" w:after="30"/>
              <w:jc w:val="center"/>
            </w:pPr>
          </w:p>
        </w:tc>
        <w:tc>
          <w:tcPr>
            <w:tcW w:w="1693" w:type="dxa"/>
            <w:tcBorders>
              <w:top w:val="nil"/>
              <w:left w:val="nil"/>
              <w:bottom w:val="single" w:sz="8" w:space="0" w:color="4F81BD"/>
              <w:right w:val="nil"/>
            </w:tcBorders>
            <w:shd w:val="clear" w:color="auto" w:fill="FFFFFF"/>
            <w:tcMar>
              <w:top w:w="0" w:type="dxa"/>
              <w:left w:w="0" w:type="dxa"/>
              <w:bottom w:w="0" w:type="dxa"/>
              <w:right w:w="53" w:type="dxa"/>
            </w:tcMar>
            <w:vAlign w:val="bottom"/>
          </w:tcPr>
          <w:p w14:paraId="1B174C7E" w14:textId="77777777" w:rsidR="000510AC" w:rsidRDefault="000510AC" w:rsidP="001B288A">
            <w:pPr>
              <w:keepNext/>
              <w:spacing w:before="53"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7DE2C60" w14:textId="77777777" w:rsidR="000510AC" w:rsidRDefault="000510AC" w:rsidP="001B288A">
            <w:pPr>
              <w:keepNext/>
              <w:spacing w:before="53" w:after="30"/>
              <w:jc w:val="right"/>
            </w:pPr>
          </w:p>
        </w:tc>
        <w:tc>
          <w:tcPr>
            <w:tcW w:w="1695" w:type="dxa"/>
            <w:tcBorders>
              <w:top w:val="nil"/>
              <w:left w:val="nil"/>
              <w:bottom w:val="single" w:sz="8" w:space="0" w:color="4F81BD"/>
              <w:right w:val="nil"/>
            </w:tcBorders>
            <w:shd w:val="clear" w:color="auto" w:fill="FFFFFF"/>
            <w:tcMar>
              <w:top w:w="0" w:type="dxa"/>
              <w:left w:w="0" w:type="dxa"/>
              <w:bottom w:w="0" w:type="dxa"/>
              <w:right w:w="53" w:type="dxa"/>
            </w:tcMar>
            <w:vAlign w:val="bottom"/>
          </w:tcPr>
          <w:p w14:paraId="51595E54" w14:textId="77777777" w:rsidR="000510AC" w:rsidRDefault="000510AC" w:rsidP="001B288A">
            <w:pPr>
              <w:keepNext/>
              <w:spacing w:before="53" w:after="30"/>
              <w:jc w:val="right"/>
            </w:pPr>
          </w:p>
        </w:tc>
      </w:tr>
      <w:tr w:rsidR="0002184F" w14:paraId="4D2D0FF7" w14:textId="77777777" w:rsidTr="00CD0B6A">
        <w:trPr>
          <w:gridAfter w:val="1"/>
          <w:wAfter w:w="6" w:type="dxa"/>
          <w:cantSplit/>
          <w:trHeight w:hRule="exact" w:val="325"/>
        </w:trPr>
        <w:tc>
          <w:tcPr>
            <w:tcW w:w="6203" w:type="dxa"/>
            <w:tcBorders>
              <w:top w:val="single" w:sz="8" w:space="0" w:color="4F81BD"/>
              <w:left w:val="nil"/>
              <w:bottom w:val="single" w:sz="2" w:space="0" w:color="000000"/>
              <w:right w:val="nil"/>
            </w:tcBorders>
            <w:shd w:val="clear" w:color="auto" w:fill="FFFFFF"/>
            <w:tcMar>
              <w:top w:w="0" w:type="dxa"/>
              <w:left w:w="53" w:type="dxa"/>
              <w:bottom w:w="0" w:type="dxa"/>
              <w:right w:w="53" w:type="dxa"/>
            </w:tcMar>
            <w:vAlign w:val="bottom"/>
          </w:tcPr>
          <w:p w14:paraId="355DD4AC" w14:textId="77777777" w:rsidR="000510AC" w:rsidRDefault="000510AC" w:rsidP="001B288A">
            <w:pPr>
              <w:keepNext/>
              <w:spacing w:before="33" w:after="30"/>
            </w:pPr>
            <w:r>
              <w:rPr>
                <w:rFonts w:ascii="Calibri" w:eastAsia="Calibri" w:hAnsi="Calibri" w:cs="Calibri"/>
                <w:color w:val="000000"/>
                <w:sz w:val="21"/>
              </w:rPr>
              <w:t>Equity and reserves attributable to owners of the parent</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BB49509" w14:textId="77777777" w:rsidR="000510AC" w:rsidRDefault="000510AC" w:rsidP="001B288A">
            <w:pPr>
              <w:keepNext/>
              <w:spacing w:before="33" w:after="30"/>
            </w:pPr>
          </w:p>
        </w:tc>
        <w:tc>
          <w:tcPr>
            <w:tcW w:w="1693" w:type="dxa"/>
            <w:tcBorders>
              <w:top w:val="single" w:sz="8" w:space="0" w:color="4F81BD"/>
              <w:left w:val="nil"/>
              <w:bottom w:val="single" w:sz="2" w:space="0" w:color="000000"/>
              <w:right w:val="nil"/>
            </w:tcBorders>
            <w:shd w:val="clear" w:color="auto" w:fill="DDDDDD"/>
            <w:tcMar>
              <w:top w:w="0" w:type="dxa"/>
              <w:left w:w="0" w:type="dxa"/>
              <w:bottom w:w="0" w:type="dxa"/>
              <w:right w:w="53" w:type="dxa"/>
            </w:tcMar>
            <w:vAlign w:val="bottom"/>
          </w:tcPr>
          <w:p w14:paraId="09C67036" w14:textId="77777777" w:rsidR="000510AC" w:rsidRDefault="000510AC" w:rsidP="001B288A">
            <w:pPr>
              <w:keepNext/>
              <w:spacing w:before="33" w:after="30"/>
              <w:jc w:val="right"/>
            </w:pPr>
            <w:r>
              <w:rPr>
                <w:rFonts w:ascii="Calibri" w:eastAsia="Calibri" w:hAnsi="Calibri" w:cs="Calibri"/>
                <w:color w:val="000000"/>
                <w:sz w:val="21"/>
              </w:rPr>
              <w:t>1,394,533</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CCB7780" w14:textId="77777777" w:rsidR="000510AC" w:rsidRDefault="000510AC" w:rsidP="001B288A">
            <w:pPr>
              <w:keepNext/>
              <w:spacing w:before="33" w:after="30"/>
              <w:jc w:val="right"/>
            </w:pPr>
          </w:p>
        </w:tc>
        <w:tc>
          <w:tcPr>
            <w:tcW w:w="1695" w:type="dxa"/>
            <w:tcBorders>
              <w:top w:val="single" w:sz="8" w:space="0" w:color="4F81BD"/>
              <w:left w:val="nil"/>
              <w:bottom w:val="single" w:sz="2" w:space="0" w:color="000000"/>
              <w:right w:val="nil"/>
            </w:tcBorders>
            <w:shd w:val="clear" w:color="auto" w:fill="FFFFFF"/>
            <w:tcMar>
              <w:top w:w="0" w:type="dxa"/>
              <w:left w:w="0" w:type="dxa"/>
              <w:bottom w:w="0" w:type="dxa"/>
              <w:right w:w="53" w:type="dxa"/>
            </w:tcMar>
            <w:vAlign w:val="bottom"/>
          </w:tcPr>
          <w:p w14:paraId="44B41F99" w14:textId="77777777" w:rsidR="000510AC" w:rsidRDefault="000510AC" w:rsidP="001B288A">
            <w:pPr>
              <w:keepNext/>
              <w:spacing w:before="33" w:after="30"/>
              <w:jc w:val="right"/>
            </w:pPr>
            <w:r>
              <w:rPr>
                <w:rFonts w:ascii="Calibri" w:eastAsia="Calibri" w:hAnsi="Calibri" w:cs="Calibri"/>
                <w:color w:val="000000"/>
                <w:sz w:val="21"/>
              </w:rPr>
              <w:t>1,321,626</w:t>
            </w:r>
          </w:p>
        </w:tc>
      </w:tr>
      <w:tr w:rsidR="0002184F" w14:paraId="38592C01"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4CA5956" w14:textId="77777777" w:rsidR="000510AC" w:rsidRDefault="000510AC" w:rsidP="001B288A">
            <w:pPr>
              <w:keepNext/>
              <w:spacing w:before="48" w:after="30"/>
            </w:pPr>
            <w:r>
              <w:rPr>
                <w:rFonts w:ascii="Calibri" w:eastAsia="Calibri" w:hAnsi="Calibri" w:cs="Calibri"/>
                <w:color w:val="000000"/>
                <w:sz w:val="21"/>
              </w:rPr>
              <w:t>Non-controlling interests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1D21394"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345FEB7" w14:textId="77777777" w:rsidR="000510AC" w:rsidRDefault="000510AC" w:rsidP="001B288A">
            <w:pPr>
              <w:keepNext/>
              <w:spacing w:before="48" w:after="30"/>
              <w:jc w:val="right"/>
            </w:pPr>
            <w:r>
              <w:rPr>
                <w:rFonts w:ascii="Calibri" w:eastAsia="Calibri" w:hAnsi="Calibri" w:cs="Calibri"/>
                <w:color w:val="000000"/>
                <w:sz w:val="21"/>
              </w:rPr>
              <w:t>29,741</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F498653"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2B301CE" w14:textId="77777777" w:rsidR="000510AC" w:rsidRDefault="000510AC" w:rsidP="001B288A">
            <w:pPr>
              <w:keepNext/>
              <w:spacing w:before="48" w:after="30"/>
              <w:jc w:val="right"/>
            </w:pPr>
            <w:r>
              <w:rPr>
                <w:rFonts w:ascii="Calibri" w:eastAsia="Calibri" w:hAnsi="Calibri" w:cs="Calibri"/>
                <w:color w:val="000000"/>
                <w:sz w:val="21"/>
              </w:rPr>
              <w:t>15,260</w:t>
            </w:r>
          </w:p>
        </w:tc>
      </w:tr>
      <w:tr w:rsidR="0002184F" w14:paraId="732B642A"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FF9F8FB" w14:textId="77777777" w:rsidR="000510AC" w:rsidRDefault="000510AC" w:rsidP="001B288A">
            <w:pPr>
              <w:keepNext/>
              <w:spacing w:before="48" w:after="30"/>
            </w:pPr>
            <w:r>
              <w:rPr>
                <w:rFonts w:ascii="Calibri" w:eastAsia="Calibri" w:hAnsi="Calibri" w:cs="Calibri"/>
                <w:b/>
                <w:color w:val="000000"/>
                <w:sz w:val="21"/>
              </w:rPr>
              <w:t>Total equity (a)</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3D18E20"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9462C67" w14:textId="77777777" w:rsidR="000510AC" w:rsidRDefault="000510AC" w:rsidP="001B288A">
            <w:pPr>
              <w:keepNext/>
              <w:spacing w:before="48" w:after="30"/>
              <w:jc w:val="right"/>
            </w:pPr>
            <w:r>
              <w:rPr>
                <w:rFonts w:ascii="Calibri" w:eastAsia="Calibri" w:hAnsi="Calibri" w:cs="Calibri"/>
                <w:b/>
                <w:color w:val="000000"/>
                <w:sz w:val="21"/>
              </w:rPr>
              <w:t>1,424,274</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4224FE5"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35FF448" w14:textId="77777777" w:rsidR="000510AC" w:rsidRDefault="000510AC" w:rsidP="001B288A">
            <w:pPr>
              <w:keepNext/>
              <w:spacing w:before="48" w:after="30"/>
              <w:jc w:val="right"/>
            </w:pPr>
            <w:r>
              <w:rPr>
                <w:rFonts w:ascii="Calibri" w:eastAsia="Calibri" w:hAnsi="Calibri" w:cs="Calibri"/>
                <w:b/>
                <w:color w:val="000000"/>
                <w:sz w:val="21"/>
              </w:rPr>
              <w:t>1,336,886</w:t>
            </w:r>
          </w:p>
        </w:tc>
      </w:tr>
      <w:tr w:rsidR="0002184F" w14:paraId="04C328F7"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2AEA2AE"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0A3DE20"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98D6791"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0CAD569"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069C54E" w14:textId="77777777" w:rsidR="000510AC" w:rsidRDefault="000510AC" w:rsidP="001B288A">
            <w:pPr>
              <w:keepNext/>
              <w:spacing w:before="48" w:after="30"/>
              <w:jc w:val="right"/>
            </w:pPr>
          </w:p>
        </w:tc>
      </w:tr>
      <w:tr w:rsidR="0002184F" w14:paraId="1A405C36"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E074739" w14:textId="77777777" w:rsidR="000510AC" w:rsidRDefault="000510AC" w:rsidP="001B288A">
            <w:pPr>
              <w:keepNext/>
              <w:spacing w:before="48" w:after="30"/>
            </w:pPr>
            <w:r>
              <w:rPr>
                <w:rFonts w:ascii="Calibri" w:eastAsia="Calibri" w:hAnsi="Calibri" w:cs="Calibri"/>
                <w:color w:val="000000"/>
                <w:sz w:val="21"/>
              </w:rPr>
              <w:t>Long-term borrowings and lease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8443817"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C2890CA" w14:textId="77777777" w:rsidR="000510AC" w:rsidRDefault="000510AC" w:rsidP="001B288A">
            <w:pPr>
              <w:keepNext/>
              <w:spacing w:before="48" w:after="30"/>
              <w:jc w:val="right"/>
            </w:pPr>
            <w:r>
              <w:rPr>
                <w:rFonts w:ascii="Calibri" w:eastAsia="Calibri" w:hAnsi="Calibri" w:cs="Calibri"/>
                <w:color w:val="000000"/>
                <w:sz w:val="21"/>
              </w:rPr>
              <w:t>763,598</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B476554"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D074072" w14:textId="77777777" w:rsidR="000510AC" w:rsidRDefault="000510AC" w:rsidP="001B288A">
            <w:pPr>
              <w:keepNext/>
              <w:spacing w:before="48" w:after="30"/>
              <w:jc w:val="right"/>
            </w:pPr>
            <w:r>
              <w:rPr>
                <w:rFonts w:ascii="Calibri" w:eastAsia="Calibri" w:hAnsi="Calibri" w:cs="Calibri"/>
                <w:color w:val="000000"/>
                <w:sz w:val="21"/>
              </w:rPr>
              <w:t>687,465</w:t>
            </w:r>
          </w:p>
        </w:tc>
      </w:tr>
      <w:tr w:rsidR="0002184F" w14:paraId="7C4A152C"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21E54C4" w14:textId="77777777" w:rsidR="000510AC" w:rsidRDefault="000510AC" w:rsidP="001B288A">
            <w:pPr>
              <w:keepNext/>
              <w:spacing w:before="48" w:after="30"/>
            </w:pPr>
            <w:r>
              <w:rPr>
                <w:rFonts w:ascii="Calibri" w:eastAsia="Calibri" w:hAnsi="Calibri" w:cs="Calibri"/>
                <w:color w:val="000000"/>
                <w:sz w:val="21"/>
              </w:rPr>
              <w:t>Deferred tax liability</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0A6B22D"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60E536C" w14:textId="77777777" w:rsidR="000510AC" w:rsidRDefault="000510AC" w:rsidP="001B288A">
            <w:pPr>
              <w:keepNext/>
              <w:spacing w:before="48" w:after="30"/>
              <w:jc w:val="right"/>
            </w:pPr>
            <w:r>
              <w:rPr>
                <w:rFonts w:ascii="Calibri" w:eastAsia="Calibri" w:hAnsi="Calibri" w:cs="Calibri"/>
                <w:color w:val="000000"/>
                <w:sz w:val="21"/>
              </w:rPr>
              <w:t>130,113</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EA31F5E"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2F7176A" w14:textId="77777777" w:rsidR="000510AC" w:rsidRDefault="000510AC" w:rsidP="001B288A">
            <w:pPr>
              <w:keepNext/>
              <w:spacing w:before="48" w:after="30"/>
              <w:jc w:val="right"/>
            </w:pPr>
            <w:r>
              <w:rPr>
                <w:rFonts w:ascii="Calibri" w:eastAsia="Calibri" w:hAnsi="Calibri" w:cs="Calibri"/>
                <w:color w:val="000000"/>
                <w:sz w:val="21"/>
              </w:rPr>
              <w:t>113,604</w:t>
            </w:r>
          </w:p>
        </w:tc>
      </w:tr>
      <w:tr w:rsidR="0002184F" w14:paraId="248BB2D4"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11B26C1" w14:textId="77777777" w:rsidR="000510AC" w:rsidRDefault="000510AC" w:rsidP="001B288A">
            <w:pPr>
              <w:keepNext/>
              <w:spacing w:before="48" w:after="30"/>
            </w:pPr>
            <w:r>
              <w:rPr>
                <w:rFonts w:ascii="Calibri" w:eastAsia="Calibri" w:hAnsi="Calibri" w:cs="Calibri"/>
                <w:color w:val="000000"/>
                <w:sz w:val="21"/>
              </w:rPr>
              <w:t>Retirement benefit obligations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9AA9800"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0960255" w14:textId="77777777" w:rsidR="000510AC" w:rsidRDefault="000510AC" w:rsidP="001B288A">
            <w:pPr>
              <w:keepNext/>
              <w:spacing w:before="48" w:after="30"/>
              <w:jc w:val="right"/>
            </w:pPr>
            <w:r>
              <w:rPr>
                <w:rFonts w:ascii="Calibri" w:eastAsia="Calibri" w:hAnsi="Calibri" w:cs="Calibri"/>
                <w:color w:val="000000"/>
                <w:sz w:val="21"/>
              </w:rPr>
              <w:t>20,217</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5E4318D"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tcMar>
              <w:top w:w="0" w:type="dxa"/>
              <w:left w:w="0" w:type="dxa"/>
              <w:bottom w:w="0" w:type="dxa"/>
              <w:right w:w="53" w:type="dxa"/>
            </w:tcMar>
            <w:vAlign w:val="bottom"/>
          </w:tcPr>
          <w:p w14:paraId="1E4DAA51" w14:textId="77777777" w:rsidR="000510AC" w:rsidRDefault="000510AC" w:rsidP="001B288A">
            <w:pPr>
              <w:keepNext/>
              <w:spacing w:before="48" w:after="30"/>
              <w:jc w:val="right"/>
            </w:pPr>
            <w:r>
              <w:rPr>
                <w:rFonts w:ascii="Calibri" w:eastAsia="Calibri" w:hAnsi="Calibri" w:cs="Calibri"/>
                <w:color w:val="000000"/>
                <w:sz w:val="21"/>
              </w:rPr>
              <w:t>22,063</w:t>
            </w:r>
          </w:p>
        </w:tc>
      </w:tr>
      <w:tr w:rsidR="0002184F" w14:paraId="07C23C1F"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E583AD8" w14:textId="77777777" w:rsidR="000510AC" w:rsidRDefault="000510AC" w:rsidP="001B288A">
            <w:pPr>
              <w:keepNext/>
              <w:spacing w:before="48" w:after="30"/>
            </w:pPr>
            <w:r>
              <w:rPr>
                <w:rFonts w:ascii="Calibri" w:eastAsia="Calibri" w:hAnsi="Calibri" w:cs="Calibri"/>
                <w:color w:val="000000"/>
                <w:sz w:val="21"/>
              </w:rPr>
              <w:t>Provisions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39D6436A"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BE51644" w14:textId="77777777" w:rsidR="000510AC" w:rsidRDefault="000510AC" w:rsidP="001B288A">
            <w:pPr>
              <w:keepNext/>
              <w:spacing w:before="48" w:after="30"/>
              <w:jc w:val="right"/>
            </w:pPr>
            <w:r>
              <w:rPr>
                <w:rFonts w:ascii="Calibri" w:eastAsia="Calibri" w:hAnsi="Calibri" w:cs="Calibri"/>
                <w:color w:val="000000"/>
                <w:sz w:val="21"/>
              </w:rPr>
              <w:t>52,209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4E9429F6"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51A9491" w14:textId="77777777" w:rsidR="000510AC" w:rsidRDefault="000510AC" w:rsidP="001B288A">
            <w:pPr>
              <w:keepNext/>
              <w:spacing w:before="48" w:after="30"/>
              <w:jc w:val="right"/>
            </w:pPr>
            <w:r>
              <w:rPr>
                <w:rFonts w:ascii="Calibri" w:eastAsia="Calibri" w:hAnsi="Calibri" w:cs="Calibri"/>
                <w:color w:val="000000"/>
                <w:sz w:val="21"/>
              </w:rPr>
              <w:t>56,001</w:t>
            </w:r>
          </w:p>
        </w:tc>
      </w:tr>
      <w:tr w:rsidR="0002184F" w14:paraId="4A947299"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18922A4" w14:textId="77777777" w:rsidR="000510AC" w:rsidRDefault="000510AC" w:rsidP="001B288A">
            <w:pPr>
              <w:keepNext/>
              <w:spacing w:before="48" w:after="30"/>
            </w:pPr>
            <w:r>
              <w:rPr>
                <w:rFonts w:ascii="Calibri" w:eastAsia="Calibri" w:hAnsi="Calibri" w:cs="Calibri"/>
                <w:color w:val="000000"/>
                <w:sz w:val="21"/>
              </w:rPr>
              <w:t>Other non-current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502BBF4"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4F15955" w14:textId="77777777" w:rsidR="000510AC" w:rsidRDefault="000510AC" w:rsidP="001B288A">
            <w:pPr>
              <w:keepNext/>
              <w:spacing w:before="48" w:after="30"/>
              <w:jc w:val="right"/>
            </w:pPr>
            <w:r>
              <w:rPr>
                <w:rFonts w:ascii="Calibri" w:eastAsia="Calibri" w:hAnsi="Calibri" w:cs="Calibri"/>
                <w:color w:val="000000"/>
                <w:sz w:val="21"/>
              </w:rPr>
              <w:t>30,040</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9FCD59E"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39BC9AB" w14:textId="77777777" w:rsidR="000510AC" w:rsidRDefault="000510AC" w:rsidP="001B288A">
            <w:pPr>
              <w:keepNext/>
              <w:spacing w:before="48" w:after="30"/>
              <w:jc w:val="right"/>
            </w:pPr>
            <w:r>
              <w:rPr>
                <w:rFonts w:ascii="Calibri" w:eastAsia="Calibri" w:hAnsi="Calibri" w:cs="Calibri"/>
                <w:color w:val="000000"/>
                <w:sz w:val="21"/>
              </w:rPr>
              <w:t>21,796</w:t>
            </w:r>
          </w:p>
        </w:tc>
      </w:tr>
      <w:tr w:rsidR="0002184F" w14:paraId="332FDEAD"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BFD2A61" w14:textId="77777777" w:rsidR="000510AC" w:rsidRDefault="000510AC" w:rsidP="001B288A">
            <w:pPr>
              <w:keepNext/>
              <w:spacing w:before="48" w:after="30"/>
            </w:pPr>
            <w:r>
              <w:rPr>
                <w:rFonts w:ascii="Calibri" w:eastAsia="Calibri" w:hAnsi="Calibri" w:cs="Calibri"/>
                <w:b/>
                <w:color w:val="000000"/>
                <w:sz w:val="21"/>
              </w:rPr>
              <w:t>Total non-current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A4F9A0F"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AD634F2" w14:textId="77777777" w:rsidR="000510AC" w:rsidRDefault="000510AC" w:rsidP="001B288A">
            <w:pPr>
              <w:keepNext/>
              <w:spacing w:before="48" w:after="30"/>
              <w:jc w:val="right"/>
            </w:pPr>
            <w:r>
              <w:rPr>
                <w:rFonts w:ascii="Calibri" w:eastAsia="Calibri" w:hAnsi="Calibri" w:cs="Calibri"/>
                <w:b/>
                <w:color w:val="000000"/>
                <w:sz w:val="21"/>
              </w:rPr>
              <w:t>996,177</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6BA1FB9"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D5FE70F" w14:textId="77777777" w:rsidR="000510AC" w:rsidRDefault="000510AC" w:rsidP="001B288A">
            <w:pPr>
              <w:keepNext/>
              <w:spacing w:before="48" w:after="30"/>
              <w:jc w:val="right"/>
            </w:pPr>
            <w:r>
              <w:rPr>
                <w:rFonts w:ascii="Calibri" w:eastAsia="Calibri" w:hAnsi="Calibri" w:cs="Calibri"/>
                <w:b/>
                <w:color w:val="000000"/>
                <w:sz w:val="21"/>
              </w:rPr>
              <w:t>900,929</w:t>
            </w:r>
          </w:p>
        </w:tc>
      </w:tr>
      <w:tr w:rsidR="0002184F" w14:paraId="06C0C5F0"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E7E5D7A"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0D4E7DC"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2CFDB41"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B1B41E0"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FBB127B" w14:textId="77777777" w:rsidR="000510AC" w:rsidRDefault="000510AC" w:rsidP="001B288A">
            <w:pPr>
              <w:keepNext/>
              <w:spacing w:before="48" w:after="30"/>
              <w:jc w:val="right"/>
            </w:pPr>
          </w:p>
        </w:tc>
      </w:tr>
      <w:tr w:rsidR="0002184F" w14:paraId="61B45D62"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2C764614" w14:textId="77777777" w:rsidR="000510AC" w:rsidRDefault="000510AC" w:rsidP="001B288A">
            <w:pPr>
              <w:keepNext/>
              <w:spacing w:before="48" w:after="30"/>
            </w:pPr>
            <w:r>
              <w:rPr>
                <w:rFonts w:ascii="Calibri" w:eastAsia="Calibri" w:hAnsi="Calibri" w:cs="Calibri"/>
                <w:color w:val="000000"/>
                <w:sz w:val="21"/>
              </w:rPr>
              <w:t>Short-term borrowings and lease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06B4874"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EC76627" w14:textId="77777777" w:rsidR="000510AC" w:rsidRDefault="000510AC" w:rsidP="001B288A">
            <w:pPr>
              <w:keepNext/>
              <w:spacing w:before="48" w:after="30"/>
              <w:jc w:val="right"/>
            </w:pPr>
            <w:r>
              <w:rPr>
                <w:rFonts w:ascii="Calibri" w:eastAsia="Calibri" w:hAnsi="Calibri" w:cs="Calibri"/>
                <w:color w:val="000000"/>
                <w:sz w:val="21"/>
              </w:rPr>
              <w:t>139,366</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2A6C21C"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2715AC7" w14:textId="77777777" w:rsidR="000510AC" w:rsidRDefault="000510AC" w:rsidP="001B288A">
            <w:pPr>
              <w:keepNext/>
              <w:spacing w:before="48" w:after="30"/>
              <w:jc w:val="right"/>
            </w:pPr>
            <w:r>
              <w:rPr>
                <w:rFonts w:ascii="Calibri" w:eastAsia="Calibri" w:hAnsi="Calibri" w:cs="Calibri"/>
                <w:color w:val="000000"/>
                <w:sz w:val="21"/>
              </w:rPr>
              <w:t>105,620</w:t>
            </w:r>
          </w:p>
        </w:tc>
      </w:tr>
      <w:tr w:rsidR="0002184F" w14:paraId="4668944C"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F6F6851" w14:textId="77777777" w:rsidR="000510AC" w:rsidRDefault="000510AC" w:rsidP="001B288A">
            <w:pPr>
              <w:keepNext/>
              <w:spacing w:before="48" w:after="30"/>
            </w:pPr>
            <w:r>
              <w:rPr>
                <w:rFonts w:ascii="Calibri" w:eastAsia="Calibri" w:hAnsi="Calibri" w:cs="Calibri"/>
                <w:color w:val="000000"/>
                <w:sz w:val="21"/>
              </w:rPr>
              <w:t>Trade, income tax and other payables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5001E4F5"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3B97CAB" w14:textId="77777777" w:rsidR="000510AC" w:rsidRDefault="000510AC" w:rsidP="001B288A">
            <w:pPr>
              <w:keepNext/>
              <w:spacing w:before="48" w:after="30"/>
              <w:jc w:val="right"/>
            </w:pPr>
            <w:r>
              <w:rPr>
                <w:rFonts w:ascii="Calibri" w:eastAsia="Calibri" w:hAnsi="Calibri" w:cs="Calibri"/>
                <w:color w:val="000000"/>
                <w:sz w:val="21"/>
              </w:rPr>
              <w:t>419,988</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2DF09B04"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277BBB4" w14:textId="77777777" w:rsidR="000510AC" w:rsidRDefault="000510AC" w:rsidP="001B288A">
            <w:pPr>
              <w:keepNext/>
              <w:spacing w:before="48" w:after="30"/>
              <w:jc w:val="right"/>
            </w:pPr>
            <w:r>
              <w:rPr>
                <w:rFonts w:ascii="Calibri" w:eastAsia="Calibri" w:hAnsi="Calibri" w:cs="Calibri"/>
                <w:color w:val="000000"/>
                <w:sz w:val="21"/>
              </w:rPr>
              <w:t>322,895</w:t>
            </w:r>
          </w:p>
        </w:tc>
      </w:tr>
      <w:tr w:rsidR="0002184F" w14:paraId="2D43EB64"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50E1263" w14:textId="77777777" w:rsidR="000510AC" w:rsidRDefault="000510AC" w:rsidP="001B288A">
            <w:pPr>
              <w:keepNext/>
              <w:spacing w:before="48" w:after="30"/>
            </w:pPr>
            <w:r>
              <w:rPr>
                <w:rFonts w:ascii="Calibri" w:eastAsia="Calibri" w:hAnsi="Calibri" w:cs="Calibri"/>
                <w:color w:val="000000"/>
                <w:sz w:val="21"/>
              </w:rPr>
              <w:t>Provisions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77E42439"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064E8AC2" w14:textId="77777777" w:rsidR="000510AC" w:rsidRDefault="000510AC" w:rsidP="001B288A">
            <w:pPr>
              <w:keepNext/>
              <w:spacing w:before="48" w:after="30"/>
              <w:jc w:val="right"/>
            </w:pPr>
            <w:r>
              <w:rPr>
                <w:rFonts w:ascii="Calibri" w:eastAsia="Calibri" w:hAnsi="Calibri" w:cs="Calibri"/>
                <w:color w:val="000000"/>
                <w:sz w:val="21"/>
              </w:rPr>
              <w:t>14,494</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0E2DE542"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1C0D1F9" w14:textId="77777777" w:rsidR="000510AC" w:rsidRDefault="000510AC" w:rsidP="001B288A">
            <w:pPr>
              <w:keepNext/>
              <w:spacing w:before="48" w:after="30"/>
              <w:jc w:val="right"/>
            </w:pPr>
            <w:r>
              <w:rPr>
                <w:rFonts w:ascii="Calibri" w:eastAsia="Calibri" w:hAnsi="Calibri" w:cs="Calibri"/>
                <w:color w:val="000000"/>
                <w:sz w:val="21"/>
              </w:rPr>
              <w:t>12,311</w:t>
            </w:r>
          </w:p>
        </w:tc>
      </w:tr>
      <w:tr w:rsidR="0002184F" w14:paraId="57633428"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21AA1C11" w14:textId="77777777" w:rsidR="000510AC" w:rsidRDefault="000510AC" w:rsidP="001B288A">
            <w:pPr>
              <w:keepNext/>
              <w:spacing w:before="48" w:after="30"/>
            </w:pPr>
            <w:r>
              <w:rPr>
                <w:rFonts w:ascii="Calibri" w:eastAsia="Calibri" w:hAnsi="Calibri" w:cs="Calibri"/>
                <w:b/>
                <w:color w:val="000000"/>
                <w:sz w:val="21"/>
              </w:rPr>
              <w:t>Total current liabilities</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16038F9F"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1A97944" w14:textId="77777777" w:rsidR="000510AC" w:rsidRDefault="000510AC" w:rsidP="001B288A">
            <w:pPr>
              <w:keepNext/>
              <w:spacing w:before="48" w:after="30"/>
              <w:jc w:val="right"/>
            </w:pPr>
            <w:r>
              <w:rPr>
                <w:rFonts w:ascii="Calibri" w:eastAsia="Calibri" w:hAnsi="Calibri" w:cs="Calibri"/>
                <w:b/>
                <w:color w:val="000000"/>
                <w:sz w:val="21"/>
              </w:rPr>
              <w:t>573,848</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D9DE983"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E142F31" w14:textId="77777777" w:rsidR="000510AC" w:rsidRDefault="000510AC" w:rsidP="001B288A">
            <w:pPr>
              <w:keepNext/>
              <w:spacing w:before="48" w:after="30"/>
              <w:jc w:val="right"/>
            </w:pPr>
            <w:r>
              <w:rPr>
                <w:rFonts w:ascii="Calibri" w:eastAsia="Calibri" w:hAnsi="Calibri" w:cs="Calibri"/>
                <w:b/>
                <w:color w:val="000000"/>
                <w:sz w:val="21"/>
              </w:rPr>
              <w:t>440,826</w:t>
            </w:r>
          </w:p>
        </w:tc>
      </w:tr>
      <w:tr w:rsidR="0002184F" w14:paraId="6FA8DA6E"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3D4B5B4"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624B85B1"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654C633"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7D443F68"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E41716B" w14:textId="77777777" w:rsidR="000510AC" w:rsidRDefault="000510AC" w:rsidP="001B288A">
            <w:pPr>
              <w:keepNext/>
              <w:spacing w:before="48" w:after="30"/>
              <w:jc w:val="right"/>
            </w:pPr>
          </w:p>
        </w:tc>
      </w:tr>
      <w:tr w:rsidR="0002184F" w14:paraId="69E3B3C2"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BD08F85" w14:textId="77777777" w:rsidR="000510AC" w:rsidRDefault="000510AC" w:rsidP="001B288A">
            <w:pPr>
              <w:keepNext/>
              <w:spacing w:before="48" w:after="30"/>
            </w:pPr>
            <w:r>
              <w:rPr>
                <w:rFonts w:ascii="Calibri" w:eastAsia="Calibri" w:hAnsi="Calibri" w:cs="Calibri"/>
                <w:b/>
                <w:color w:val="000000"/>
                <w:sz w:val="21"/>
              </w:rPr>
              <w:t>Total liabilities (b)</w:t>
            </w: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4B1EA7F9" w14:textId="77777777" w:rsidR="000510AC" w:rsidRDefault="000510AC" w:rsidP="001B288A">
            <w:pPr>
              <w:keepNext/>
              <w:spacing w:before="48" w:after="30"/>
            </w:pPr>
          </w:p>
        </w:tc>
        <w:tc>
          <w:tcPr>
            <w:tcW w:w="1693"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21EE04F" w14:textId="77777777" w:rsidR="000510AC" w:rsidRDefault="000510AC" w:rsidP="001B288A">
            <w:pPr>
              <w:keepNext/>
              <w:spacing w:before="48" w:after="30"/>
              <w:jc w:val="right"/>
            </w:pPr>
            <w:r>
              <w:rPr>
                <w:rFonts w:ascii="Calibri" w:eastAsia="Calibri" w:hAnsi="Calibri" w:cs="Calibri"/>
                <w:b/>
                <w:color w:val="000000"/>
                <w:sz w:val="21"/>
              </w:rPr>
              <w:t>1,570,025</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25902346"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5A5EF8D" w14:textId="77777777" w:rsidR="000510AC" w:rsidRDefault="000510AC" w:rsidP="001B288A">
            <w:pPr>
              <w:keepNext/>
              <w:spacing w:before="48" w:after="30"/>
              <w:jc w:val="right"/>
            </w:pPr>
            <w:r>
              <w:rPr>
                <w:rFonts w:ascii="Calibri" w:eastAsia="Calibri" w:hAnsi="Calibri" w:cs="Calibri"/>
                <w:b/>
                <w:color w:val="000000"/>
                <w:sz w:val="21"/>
              </w:rPr>
              <w:t>1,341,755</w:t>
            </w:r>
          </w:p>
        </w:tc>
      </w:tr>
      <w:tr w:rsidR="0002184F" w14:paraId="275BB1AC" w14:textId="77777777" w:rsidTr="00CD0B6A">
        <w:trPr>
          <w:gridAfter w:val="1"/>
          <w:wAfter w:w="6" w:type="dxa"/>
          <w:cantSplit/>
          <w:trHeight w:hRule="exact" w:val="325"/>
        </w:trPr>
        <w:tc>
          <w:tcPr>
            <w:tcW w:w="6203"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F741AE0" w14:textId="77777777" w:rsidR="000510AC" w:rsidRDefault="000510AC" w:rsidP="001B288A">
            <w:pPr>
              <w:keepNext/>
              <w:spacing w:before="48" w:after="30"/>
            </w:pPr>
          </w:p>
        </w:tc>
        <w:tc>
          <w:tcPr>
            <w:tcW w:w="136" w:type="dxa"/>
            <w:tcBorders>
              <w:top w:val="nil"/>
              <w:left w:val="nil"/>
              <w:bottom w:val="nil"/>
              <w:right w:val="nil"/>
            </w:tcBorders>
            <w:shd w:val="clear" w:color="auto" w:fill="FFFFFF"/>
            <w:tcMar>
              <w:top w:w="0" w:type="dxa"/>
              <w:left w:w="53" w:type="dxa"/>
              <w:bottom w:w="0" w:type="dxa"/>
              <w:right w:w="53" w:type="dxa"/>
            </w:tcMar>
            <w:vAlign w:val="bottom"/>
          </w:tcPr>
          <w:p w14:paraId="0437F7D1" w14:textId="77777777" w:rsidR="000510AC" w:rsidRDefault="000510AC" w:rsidP="001B288A">
            <w:pPr>
              <w:keepNext/>
              <w:spacing w:before="48" w:after="30"/>
              <w:jc w:val="center"/>
            </w:pPr>
          </w:p>
        </w:tc>
        <w:tc>
          <w:tcPr>
            <w:tcW w:w="1693"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22ACABD" w14:textId="77777777" w:rsidR="000510AC" w:rsidRDefault="000510AC" w:rsidP="001B288A">
            <w:pPr>
              <w:keepNext/>
              <w:spacing w:before="48" w:after="30"/>
              <w:jc w:val="right"/>
            </w:pP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6EB0AF3E" w14:textId="77777777" w:rsidR="000510AC" w:rsidRDefault="000510AC" w:rsidP="001B288A">
            <w:pPr>
              <w:keepNext/>
              <w:spacing w:before="48" w:after="30"/>
              <w:jc w:val="right"/>
            </w:pPr>
          </w:p>
        </w:tc>
        <w:tc>
          <w:tcPr>
            <w:tcW w:w="1695"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B3FBDA9" w14:textId="77777777" w:rsidR="000510AC" w:rsidRDefault="000510AC" w:rsidP="001B288A">
            <w:pPr>
              <w:keepNext/>
              <w:spacing w:before="48" w:after="30"/>
              <w:jc w:val="right"/>
            </w:pPr>
          </w:p>
        </w:tc>
      </w:tr>
      <w:tr w:rsidR="0002184F" w14:paraId="1F7C489A" w14:textId="77777777" w:rsidTr="00CD0B6A">
        <w:trPr>
          <w:gridAfter w:val="1"/>
          <w:wAfter w:w="6" w:type="dxa"/>
          <w:cantSplit/>
          <w:trHeight w:hRule="exact" w:val="325"/>
        </w:trPr>
        <w:tc>
          <w:tcPr>
            <w:tcW w:w="6203" w:type="dxa"/>
            <w:tcBorders>
              <w:top w:val="single" w:sz="2" w:space="0" w:color="000000"/>
              <w:left w:val="nil"/>
              <w:bottom w:val="single" w:sz="8" w:space="0" w:color="4F81BD"/>
              <w:right w:val="nil"/>
            </w:tcBorders>
            <w:shd w:val="clear" w:color="auto" w:fill="FFFFFF"/>
            <w:tcMar>
              <w:top w:w="0" w:type="dxa"/>
              <w:left w:w="53" w:type="dxa"/>
              <w:bottom w:w="0" w:type="dxa"/>
              <w:right w:w="53" w:type="dxa"/>
            </w:tcMar>
            <w:vAlign w:val="bottom"/>
          </w:tcPr>
          <w:p w14:paraId="03BBCC95" w14:textId="77777777" w:rsidR="000510AC" w:rsidRDefault="000510AC" w:rsidP="001B288A">
            <w:pPr>
              <w:spacing w:before="48" w:after="30"/>
            </w:pPr>
            <w:r>
              <w:rPr>
                <w:rFonts w:ascii="Calibri" w:eastAsia="Calibri" w:hAnsi="Calibri" w:cs="Calibri"/>
                <w:b/>
                <w:color w:val="000000"/>
                <w:sz w:val="21"/>
              </w:rPr>
              <w:t>Total Equity and Liabilities (</w:t>
            </w:r>
            <w:proofErr w:type="spellStart"/>
            <w:r>
              <w:rPr>
                <w:rFonts w:ascii="Calibri" w:eastAsia="Calibri" w:hAnsi="Calibri" w:cs="Calibri"/>
                <w:b/>
                <w:color w:val="000000"/>
                <w:sz w:val="21"/>
              </w:rPr>
              <w:t>a+b</w:t>
            </w:r>
            <w:proofErr w:type="spellEnd"/>
            <w:r>
              <w:rPr>
                <w:rFonts w:ascii="Calibri" w:eastAsia="Calibri" w:hAnsi="Calibri" w:cs="Calibri"/>
                <w:b/>
                <w:color w:val="000000"/>
                <w:sz w:val="21"/>
              </w:rPr>
              <w:t>)</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56A43357" w14:textId="77777777" w:rsidR="000510AC" w:rsidRDefault="000510AC" w:rsidP="001B288A">
            <w:pPr>
              <w:spacing w:before="48" w:after="30"/>
              <w:jc w:val="right"/>
            </w:pPr>
          </w:p>
        </w:tc>
        <w:tc>
          <w:tcPr>
            <w:tcW w:w="1693"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745267D2" w14:textId="77777777" w:rsidR="000510AC" w:rsidRDefault="000510AC" w:rsidP="001B288A">
            <w:pPr>
              <w:spacing w:before="48" w:after="30"/>
              <w:jc w:val="right"/>
            </w:pPr>
            <w:r>
              <w:rPr>
                <w:rFonts w:ascii="Calibri" w:eastAsia="Calibri" w:hAnsi="Calibri" w:cs="Calibri"/>
                <w:b/>
                <w:color w:val="000000"/>
                <w:sz w:val="21"/>
              </w:rPr>
              <w:t>2,994,299</w:t>
            </w:r>
          </w:p>
        </w:tc>
        <w:tc>
          <w:tcPr>
            <w:tcW w:w="136" w:type="dxa"/>
            <w:tcBorders>
              <w:top w:val="nil"/>
              <w:left w:val="nil"/>
              <w:bottom w:val="nil"/>
              <w:right w:val="nil"/>
            </w:tcBorders>
            <w:shd w:val="clear" w:color="auto" w:fill="FFFFFF"/>
            <w:tcMar>
              <w:top w:w="0" w:type="dxa"/>
              <w:left w:w="0" w:type="dxa"/>
              <w:bottom w:w="0" w:type="dxa"/>
              <w:right w:w="53" w:type="dxa"/>
            </w:tcMar>
            <w:vAlign w:val="bottom"/>
          </w:tcPr>
          <w:p w14:paraId="1865CD9D" w14:textId="77777777" w:rsidR="000510AC" w:rsidRDefault="000510AC" w:rsidP="001B288A">
            <w:pPr>
              <w:spacing w:before="48" w:after="30"/>
              <w:jc w:val="right"/>
            </w:pPr>
          </w:p>
        </w:tc>
        <w:tc>
          <w:tcPr>
            <w:tcW w:w="1695" w:type="dxa"/>
            <w:tcBorders>
              <w:top w:val="single" w:sz="2" w:space="0" w:color="000000"/>
              <w:left w:val="nil"/>
              <w:bottom w:val="single" w:sz="8" w:space="0" w:color="4F81BD"/>
              <w:right w:val="nil"/>
            </w:tcBorders>
            <w:shd w:val="clear" w:color="auto" w:fill="FFFFFF"/>
            <w:tcMar>
              <w:top w:w="0" w:type="dxa"/>
              <w:left w:w="0" w:type="dxa"/>
              <w:bottom w:w="0" w:type="dxa"/>
              <w:right w:w="53" w:type="dxa"/>
            </w:tcMar>
            <w:vAlign w:val="bottom"/>
          </w:tcPr>
          <w:p w14:paraId="148DD049" w14:textId="77777777" w:rsidR="000510AC" w:rsidRDefault="000510AC" w:rsidP="001B288A">
            <w:pPr>
              <w:spacing w:before="48" w:after="30"/>
              <w:jc w:val="right"/>
            </w:pPr>
            <w:r>
              <w:rPr>
                <w:rFonts w:ascii="Calibri" w:eastAsia="Calibri" w:hAnsi="Calibri" w:cs="Calibri"/>
                <w:b/>
                <w:color w:val="000000"/>
                <w:sz w:val="21"/>
              </w:rPr>
              <w:t>2,678,641</w:t>
            </w:r>
          </w:p>
        </w:tc>
      </w:tr>
    </w:tbl>
    <w:p w14:paraId="7DFA0BBE" w14:textId="77777777" w:rsidR="000510AC" w:rsidRDefault="000510AC" w:rsidP="000510AC">
      <w:pPr>
        <w:spacing w:line="288" w:lineRule="auto"/>
        <w:rPr>
          <w:rFonts w:ascii="Arial" w:eastAsia="Arial" w:hAnsi="Arial" w:cs="Arial"/>
        </w:rPr>
      </w:pPr>
    </w:p>
    <w:p w14:paraId="59F57A19" w14:textId="77777777" w:rsidR="008C275C" w:rsidRDefault="008C275C" w:rsidP="004A7016">
      <w:pPr>
        <w:spacing w:after="200" w:line="276" w:lineRule="auto"/>
        <w:rPr>
          <w:rFonts w:ascii="Calibri" w:eastAsia="Arial" w:hAnsi="Calibri" w:cs="Calibri"/>
        </w:rPr>
      </w:pPr>
    </w:p>
    <w:p w14:paraId="7F2A86EA" w14:textId="77777777" w:rsidR="000510AC" w:rsidRDefault="000510AC" w:rsidP="004A7016">
      <w:pPr>
        <w:spacing w:after="200" w:line="276" w:lineRule="auto"/>
        <w:rPr>
          <w:rFonts w:ascii="Calibri" w:eastAsia="Arial" w:hAnsi="Calibri" w:cs="Calibri"/>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4"/>
        <w:gridCol w:w="188"/>
        <w:gridCol w:w="1636"/>
        <w:gridCol w:w="141"/>
        <w:gridCol w:w="1638"/>
      </w:tblGrid>
      <w:tr w:rsidR="00DC1B99" w14:paraId="36549D50" w14:textId="77777777" w:rsidTr="0002184F">
        <w:trPr>
          <w:cantSplit/>
          <w:trHeight w:hRule="exact" w:val="429"/>
        </w:trPr>
        <w:tc>
          <w:tcPr>
            <w:tcW w:w="9597" w:type="dxa"/>
            <w:gridSpan w:val="5"/>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B4D7A2C" w14:textId="77777777" w:rsidR="00DC1B99" w:rsidRDefault="00DC1B99" w:rsidP="001B288A">
            <w:pPr>
              <w:keepNext/>
              <w:spacing w:before="53" w:after="30"/>
            </w:pPr>
            <w:r>
              <w:rPr>
                <w:rFonts w:ascii="Calibri" w:eastAsia="Calibri" w:hAnsi="Calibri" w:cs="Calibri"/>
                <w:b/>
                <w:color w:val="00183D"/>
                <w:sz w:val="28"/>
              </w:rPr>
              <w:t xml:space="preserve">Condensed Consolidated Cash Flow Statement </w:t>
            </w:r>
          </w:p>
        </w:tc>
      </w:tr>
      <w:tr w:rsidR="00DC1B99" w14:paraId="1A2AC876" w14:textId="77777777" w:rsidTr="0031443E">
        <w:trPr>
          <w:cantSplit/>
          <w:trHeight w:hRule="exact" w:val="476"/>
        </w:trPr>
        <w:tc>
          <w:tcPr>
            <w:tcW w:w="5994" w:type="dxa"/>
            <w:tcBorders>
              <w:top w:val="nil"/>
              <w:left w:val="nil"/>
              <w:bottom w:val="single" w:sz="8" w:space="0" w:color="4F81BD"/>
              <w:right w:val="nil"/>
            </w:tcBorders>
            <w:shd w:val="clear" w:color="auto" w:fill="FFFFFF"/>
            <w:tcMar>
              <w:top w:w="0" w:type="dxa"/>
              <w:left w:w="53" w:type="dxa"/>
              <w:bottom w:w="0" w:type="dxa"/>
              <w:right w:w="53" w:type="dxa"/>
            </w:tcMar>
            <w:vAlign w:val="bottom"/>
          </w:tcPr>
          <w:p w14:paraId="6723C9CC" w14:textId="77777777" w:rsidR="00DC1B99" w:rsidRDefault="00DC1B99" w:rsidP="001B288A">
            <w:pPr>
              <w:keepNext/>
              <w:spacing w:before="33" w:after="30"/>
            </w:pPr>
          </w:p>
        </w:tc>
        <w:tc>
          <w:tcPr>
            <w:tcW w:w="188" w:type="dxa"/>
            <w:tcBorders>
              <w:top w:val="single" w:sz="8" w:space="0" w:color="000000"/>
              <w:left w:val="nil"/>
              <w:bottom w:val="nil"/>
              <w:right w:val="nil"/>
            </w:tcBorders>
            <w:shd w:val="clear" w:color="auto" w:fill="FFFFFF"/>
            <w:tcMar>
              <w:top w:w="0" w:type="dxa"/>
              <w:left w:w="53" w:type="dxa"/>
              <w:bottom w:w="0" w:type="dxa"/>
              <w:right w:w="53" w:type="dxa"/>
            </w:tcMar>
          </w:tcPr>
          <w:p w14:paraId="630178BD" w14:textId="77777777" w:rsidR="00DC1B99" w:rsidRDefault="00DC1B99" w:rsidP="001B288A">
            <w:pPr>
              <w:keepNext/>
              <w:spacing w:before="33" w:after="30"/>
            </w:pPr>
          </w:p>
        </w:tc>
        <w:tc>
          <w:tcPr>
            <w:tcW w:w="1636" w:type="dxa"/>
            <w:tcBorders>
              <w:top w:val="single" w:sz="8" w:space="0" w:color="000000"/>
              <w:left w:val="nil"/>
              <w:bottom w:val="single" w:sz="8" w:space="0" w:color="4F81BD"/>
              <w:right w:val="nil"/>
            </w:tcBorders>
            <w:shd w:val="clear" w:color="auto" w:fill="FFFFFF"/>
            <w:tcMar>
              <w:top w:w="0" w:type="dxa"/>
              <w:left w:w="53" w:type="dxa"/>
              <w:bottom w:w="0" w:type="dxa"/>
              <w:right w:w="53" w:type="dxa"/>
            </w:tcMar>
            <w:vAlign w:val="bottom"/>
          </w:tcPr>
          <w:p w14:paraId="4A81DE80" w14:textId="77777777" w:rsidR="00DC1B99" w:rsidRDefault="00DC1B99" w:rsidP="001B288A">
            <w:pPr>
              <w:keepNext/>
              <w:spacing w:before="33" w:after="30"/>
            </w:pPr>
          </w:p>
        </w:tc>
        <w:tc>
          <w:tcPr>
            <w:tcW w:w="141" w:type="dxa"/>
            <w:tcBorders>
              <w:top w:val="single" w:sz="8" w:space="0" w:color="000000"/>
              <w:left w:val="nil"/>
              <w:bottom w:val="single" w:sz="4" w:space="0" w:color="026DCE"/>
              <w:right w:val="nil"/>
            </w:tcBorders>
            <w:shd w:val="clear" w:color="auto" w:fill="FFFFFF"/>
            <w:tcMar>
              <w:top w:w="0" w:type="dxa"/>
              <w:left w:w="53" w:type="dxa"/>
              <w:bottom w:w="0" w:type="dxa"/>
              <w:right w:w="53" w:type="dxa"/>
            </w:tcMar>
            <w:vAlign w:val="bottom"/>
          </w:tcPr>
          <w:p w14:paraId="7341A74B" w14:textId="77777777" w:rsidR="00DC1B99" w:rsidRDefault="00DC1B99" w:rsidP="001B288A">
            <w:pPr>
              <w:keepNext/>
              <w:spacing w:before="33" w:after="30"/>
            </w:pPr>
          </w:p>
        </w:tc>
        <w:tc>
          <w:tcPr>
            <w:tcW w:w="1638" w:type="dxa"/>
            <w:tcBorders>
              <w:top w:val="single" w:sz="8" w:space="0" w:color="000000"/>
              <w:left w:val="nil"/>
              <w:bottom w:val="single" w:sz="8" w:space="0" w:color="4F81BD"/>
              <w:right w:val="nil"/>
            </w:tcBorders>
            <w:shd w:val="clear" w:color="auto" w:fill="FFFFFF"/>
            <w:tcMar>
              <w:top w:w="0" w:type="dxa"/>
              <w:left w:w="53" w:type="dxa"/>
              <w:bottom w:w="0" w:type="dxa"/>
              <w:right w:w="53" w:type="dxa"/>
            </w:tcMar>
            <w:vAlign w:val="bottom"/>
          </w:tcPr>
          <w:p w14:paraId="38BBDD6F" w14:textId="77777777" w:rsidR="00DC1B99" w:rsidRDefault="00DC1B99" w:rsidP="001B288A">
            <w:pPr>
              <w:keepNext/>
              <w:spacing w:before="33" w:after="30"/>
            </w:pPr>
          </w:p>
        </w:tc>
      </w:tr>
      <w:tr w:rsidR="00DC1B99" w14:paraId="007B1019" w14:textId="77777777" w:rsidTr="0002184F">
        <w:trPr>
          <w:cantSplit/>
          <w:trHeight w:hRule="exact" w:val="307"/>
        </w:trPr>
        <w:tc>
          <w:tcPr>
            <w:tcW w:w="5994" w:type="dxa"/>
            <w:tcBorders>
              <w:top w:val="single" w:sz="8" w:space="0" w:color="4F81BD"/>
              <w:left w:val="nil"/>
              <w:bottom w:val="nil"/>
              <w:right w:val="nil"/>
            </w:tcBorders>
            <w:shd w:val="clear" w:color="auto" w:fill="FFFFFF"/>
            <w:tcMar>
              <w:top w:w="0" w:type="dxa"/>
              <w:left w:w="53" w:type="dxa"/>
              <w:bottom w:w="0" w:type="dxa"/>
              <w:right w:w="53" w:type="dxa"/>
            </w:tcMar>
          </w:tcPr>
          <w:p w14:paraId="7659283C" w14:textId="77777777" w:rsidR="00DC1B99" w:rsidRDefault="00DC1B99" w:rsidP="001B288A">
            <w:pPr>
              <w:keepNext/>
              <w:spacing w:before="33" w:after="30"/>
            </w:pPr>
            <w:r>
              <w:rPr>
                <w:rFonts w:ascii="Calibri" w:eastAsia="Calibri" w:hAnsi="Calibri" w:cs="Calibri"/>
                <w:i/>
                <w:color w:val="000000"/>
                <w:sz w:val="18"/>
              </w:rPr>
              <w:t>(</w:t>
            </w:r>
            <w:proofErr w:type="gramStart"/>
            <w:r>
              <w:rPr>
                <w:rFonts w:ascii="Calibri" w:eastAsia="Calibri" w:hAnsi="Calibri" w:cs="Calibri"/>
                <w:i/>
                <w:color w:val="000000"/>
                <w:sz w:val="18"/>
              </w:rPr>
              <w:t>all</w:t>
            </w:r>
            <w:proofErr w:type="gramEnd"/>
            <w:r>
              <w:rPr>
                <w:rFonts w:ascii="Calibri" w:eastAsia="Calibri" w:hAnsi="Calibri" w:cs="Calibri"/>
                <w:i/>
                <w:color w:val="000000"/>
                <w:sz w:val="18"/>
              </w:rPr>
              <w:t xml:space="preserve"> amounts in Euro thousands)</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5569900A" w14:textId="77777777" w:rsidR="00DC1B99" w:rsidRDefault="00DC1B99" w:rsidP="001B288A">
            <w:pPr>
              <w:keepNext/>
              <w:spacing w:before="33" w:after="30"/>
            </w:pPr>
          </w:p>
        </w:tc>
        <w:tc>
          <w:tcPr>
            <w:tcW w:w="3415" w:type="dxa"/>
            <w:gridSpan w:val="3"/>
            <w:tcBorders>
              <w:top w:val="nil"/>
              <w:left w:val="nil"/>
              <w:bottom w:val="nil"/>
              <w:right w:val="nil"/>
            </w:tcBorders>
            <w:shd w:val="clear" w:color="auto" w:fill="FFFFFF"/>
            <w:tcMar>
              <w:top w:w="0" w:type="dxa"/>
              <w:left w:w="53" w:type="dxa"/>
              <w:bottom w:w="0" w:type="dxa"/>
              <w:right w:w="53" w:type="dxa"/>
            </w:tcMar>
            <w:vAlign w:val="bottom"/>
          </w:tcPr>
          <w:p w14:paraId="4DC7AE6B" w14:textId="77777777" w:rsidR="00DC1B99" w:rsidRDefault="00DC1B99" w:rsidP="001B288A">
            <w:pPr>
              <w:keepNext/>
              <w:spacing w:before="33" w:after="30"/>
              <w:jc w:val="center"/>
            </w:pPr>
            <w:r>
              <w:rPr>
                <w:rFonts w:ascii="Calibri" w:eastAsia="Calibri" w:hAnsi="Calibri" w:cs="Calibri"/>
                <w:b/>
                <w:color w:val="000000"/>
                <w:sz w:val="21"/>
              </w:rPr>
              <w:t>Year ended 31 December</w:t>
            </w:r>
          </w:p>
        </w:tc>
      </w:tr>
      <w:tr w:rsidR="00DC1B99" w14:paraId="0A6B8752" w14:textId="77777777" w:rsidTr="0002184F">
        <w:trPr>
          <w:cantSplit/>
          <w:trHeight w:hRule="exact" w:val="307"/>
        </w:trPr>
        <w:tc>
          <w:tcPr>
            <w:tcW w:w="5994" w:type="dxa"/>
            <w:tcBorders>
              <w:top w:val="nil"/>
              <w:left w:val="nil"/>
              <w:bottom w:val="nil"/>
              <w:right w:val="nil"/>
            </w:tcBorders>
            <w:shd w:val="clear" w:color="auto" w:fill="FFFFFF"/>
            <w:tcMar>
              <w:top w:w="0" w:type="dxa"/>
              <w:left w:w="53" w:type="dxa"/>
              <w:bottom w:w="0" w:type="dxa"/>
              <w:right w:w="53" w:type="dxa"/>
            </w:tcMar>
            <w:vAlign w:val="bottom"/>
          </w:tcPr>
          <w:p w14:paraId="0C253EAA" w14:textId="77777777" w:rsidR="00DC1B99" w:rsidRDefault="00DC1B99" w:rsidP="001B288A">
            <w:pPr>
              <w:keepNext/>
              <w:spacing w:before="48"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0BE1C05A" w14:textId="77777777" w:rsidR="00DC1B99" w:rsidRDefault="00DC1B99" w:rsidP="001B288A">
            <w:pPr>
              <w:keepNext/>
              <w:spacing w:before="48" w:after="30"/>
            </w:pPr>
          </w:p>
        </w:tc>
        <w:tc>
          <w:tcPr>
            <w:tcW w:w="1636" w:type="dxa"/>
            <w:tcBorders>
              <w:top w:val="single" w:sz="2" w:space="0" w:color="000000"/>
              <w:left w:val="nil"/>
              <w:bottom w:val="nil"/>
              <w:right w:val="nil"/>
            </w:tcBorders>
            <w:shd w:val="clear" w:color="auto" w:fill="DDDDDD"/>
            <w:tcMar>
              <w:top w:w="0" w:type="dxa"/>
              <w:left w:w="0" w:type="dxa"/>
              <w:bottom w:w="0" w:type="dxa"/>
              <w:right w:w="53" w:type="dxa"/>
            </w:tcMar>
            <w:vAlign w:val="bottom"/>
          </w:tcPr>
          <w:p w14:paraId="6E9CEB56" w14:textId="77777777" w:rsidR="00DC1B99" w:rsidRDefault="00DC1B99" w:rsidP="001B288A">
            <w:pPr>
              <w:keepNext/>
              <w:spacing w:before="48" w:after="30"/>
              <w:jc w:val="right"/>
            </w:pPr>
            <w:r>
              <w:rPr>
                <w:rFonts w:ascii="Calibri" w:eastAsia="Calibri" w:hAnsi="Calibri" w:cs="Calibri"/>
                <w:b/>
                <w:color w:val="000000"/>
                <w:sz w:val="21"/>
              </w:rPr>
              <w:t>2022</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14FD3200" w14:textId="77777777" w:rsidR="00DC1B99" w:rsidRDefault="00DC1B99" w:rsidP="001B288A">
            <w:pPr>
              <w:keepNext/>
              <w:spacing w:before="48" w:after="30"/>
              <w:jc w:val="right"/>
            </w:pPr>
          </w:p>
        </w:tc>
        <w:tc>
          <w:tcPr>
            <w:tcW w:w="1638"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5073ED82" w14:textId="77777777" w:rsidR="00DC1B99" w:rsidRDefault="00DC1B99" w:rsidP="001B288A">
            <w:pPr>
              <w:keepNext/>
              <w:spacing w:before="48" w:after="30"/>
              <w:jc w:val="right"/>
            </w:pPr>
            <w:r>
              <w:rPr>
                <w:rFonts w:ascii="Calibri" w:eastAsia="Calibri" w:hAnsi="Calibri" w:cs="Calibri"/>
                <w:b/>
                <w:color w:val="000000"/>
                <w:sz w:val="21"/>
              </w:rPr>
              <w:t>2021</w:t>
            </w:r>
          </w:p>
        </w:tc>
      </w:tr>
      <w:tr w:rsidR="00DC1B99" w14:paraId="292AF5DA" w14:textId="77777777" w:rsidTr="0002184F">
        <w:trPr>
          <w:cantSplit/>
          <w:trHeight w:hRule="exact" w:val="307"/>
        </w:trPr>
        <w:tc>
          <w:tcPr>
            <w:tcW w:w="5994" w:type="dxa"/>
            <w:tcBorders>
              <w:top w:val="nil"/>
              <w:left w:val="nil"/>
              <w:bottom w:val="nil"/>
              <w:right w:val="nil"/>
            </w:tcBorders>
            <w:shd w:val="clear" w:color="auto" w:fill="FFFFFF"/>
            <w:tcMar>
              <w:top w:w="0" w:type="dxa"/>
              <w:left w:w="53" w:type="dxa"/>
              <w:bottom w:w="0" w:type="dxa"/>
              <w:right w:w="53" w:type="dxa"/>
            </w:tcMar>
            <w:vAlign w:val="bottom"/>
          </w:tcPr>
          <w:p w14:paraId="5A330843" w14:textId="77777777" w:rsidR="00DC1B99" w:rsidRDefault="00DC1B99" w:rsidP="001B288A">
            <w:pPr>
              <w:keepNext/>
              <w:spacing w:before="33"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72D0EA5F" w14:textId="77777777" w:rsidR="00DC1B99" w:rsidRDefault="00DC1B99" w:rsidP="001B288A">
            <w:pPr>
              <w:keepNext/>
              <w:spacing w:before="33" w:after="30"/>
            </w:pPr>
          </w:p>
        </w:tc>
        <w:tc>
          <w:tcPr>
            <w:tcW w:w="1636"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53BC3E43" w14:textId="77777777" w:rsidR="00DC1B99" w:rsidRDefault="00DC1B99" w:rsidP="001B288A">
            <w:pPr>
              <w:keepNext/>
              <w:spacing w:before="33" w:after="30"/>
              <w:jc w:val="right"/>
            </w:pPr>
          </w:p>
        </w:tc>
        <w:tc>
          <w:tcPr>
            <w:tcW w:w="141" w:type="dxa"/>
            <w:tcBorders>
              <w:top w:val="nil"/>
              <w:left w:val="nil"/>
              <w:bottom w:val="nil"/>
              <w:right w:val="nil"/>
            </w:tcBorders>
            <w:shd w:val="clear" w:color="auto" w:fill="FFFFFF"/>
            <w:tcMar>
              <w:top w:w="0" w:type="dxa"/>
              <w:left w:w="53" w:type="dxa"/>
              <w:bottom w:w="0" w:type="dxa"/>
              <w:right w:w="53" w:type="dxa"/>
            </w:tcMar>
            <w:vAlign w:val="bottom"/>
          </w:tcPr>
          <w:p w14:paraId="77AD8500" w14:textId="77777777" w:rsidR="00DC1B99" w:rsidRDefault="00DC1B99" w:rsidP="001B288A">
            <w:pPr>
              <w:keepNext/>
              <w:spacing w:before="33" w:after="30"/>
            </w:pPr>
          </w:p>
        </w:tc>
        <w:tc>
          <w:tcPr>
            <w:tcW w:w="1638"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56D44A15" w14:textId="77777777" w:rsidR="00DC1B99" w:rsidRDefault="00DC1B99" w:rsidP="001B288A">
            <w:pPr>
              <w:keepNext/>
              <w:spacing w:before="33" w:after="30"/>
              <w:jc w:val="right"/>
            </w:pPr>
          </w:p>
        </w:tc>
      </w:tr>
      <w:tr w:rsidR="00DC1B99" w14:paraId="14E5072F" w14:textId="77777777" w:rsidTr="0002184F">
        <w:trPr>
          <w:cantSplit/>
          <w:trHeight w:hRule="exact" w:val="307"/>
        </w:trPr>
        <w:tc>
          <w:tcPr>
            <w:tcW w:w="5994" w:type="dxa"/>
            <w:tcBorders>
              <w:top w:val="nil"/>
              <w:left w:val="nil"/>
              <w:bottom w:val="single" w:sz="2" w:space="0" w:color="000000"/>
              <w:right w:val="nil"/>
            </w:tcBorders>
            <w:shd w:val="clear" w:color="auto" w:fill="FFFFFF"/>
            <w:tcMar>
              <w:top w:w="0" w:type="dxa"/>
              <w:left w:w="53" w:type="dxa"/>
              <w:bottom w:w="0" w:type="dxa"/>
              <w:right w:w="53" w:type="dxa"/>
            </w:tcMar>
            <w:vAlign w:val="bottom"/>
          </w:tcPr>
          <w:p w14:paraId="70266716" w14:textId="77777777" w:rsidR="00DC1B99" w:rsidRDefault="00DC1B99" w:rsidP="001B288A">
            <w:pPr>
              <w:keepNext/>
              <w:spacing w:before="53" w:after="30"/>
            </w:pPr>
            <w:r>
              <w:rPr>
                <w:rFonts w:ascii="Calibri" w:eastAsia="Calibri" w:hAnsi="Calibri" w:cs="Calibri"/>
                <w:b/>
                <w:color w:val="4F81BD"/>
              </w:rPr>
              <w:t>Cash flows from operating activities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0C4DAE5B" w14:textId="77777777" w:rsidR="00DC1B99" w:rsidRDefault="00DC1B99" w:rsidP="001B288A">
            <w:pPr>
              <w:keepNext/>
              <w:spacing w:before="53" w:after="30"/>
              <w:jc w:val="right"/>
            </w:pPr>
          </w:p>
        </w:tc>
        <w:tc>
          <w:tcPr>
            <w:tcW w:w="1636"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1B269A2D" w14:textId="77777777" w:rsidR="00DC1B99" w:rsidRDefault="00DC1B99" w:rsidP="001B288A">
            <w:pPr>
              <w:keepNext/>
              <w:spacing w:before="53" w:after="30"/>
              <w:jc w:val="right"/>
            </w:pPr>
          </w:p>
        </w:tc>
        <w:tc>
          <w:tcPr>
            <w:tcW w:w="141" w:type="dxa"/>
            <w:tcBorders>
              <w:top w:val="nil"/>
              <w:left w:val="nil"/>
              <w:bottom w:val="nil"/>
              <w:right w:val="nil"/>
            </w:tcBorders>
            <w:shd w:val="clear" w:color="auto" w:fill="FFFFFF"/>
            <w:tcMar>
              <w:top w:w="0" w:type="dxa"/>
              <w:left w:w="53" w:type="dxa"/>
              <w:bottom w:w="0" w:type="dxa"/>
              <w:right w:w="53" w:type="dxa"/>
            </w:tcMar>
            <w:vAlign w:val="bottom"/>
          </w:tcPr>
          <w:p w14:paraId="32F55DE8" w14:textId="77777777" w:rsidR="00DC1B99" w:rsidRDefault="00DC1B99" w:rsidP="001B288A">
            <w:pPr>
              <w:keepNext/>
              <w:spacing w:before="53" w:after="30"/>
            </w:pPr>
          </w:p>
        </w:tc>
        <w:tc>
          <w:tcPr>
            <w:tcW w:w="1638"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0A20518B" w14:textId="77777777" w:rsidR="00DC1B99" w:rsidRDefault="00DC1B99" w:rsidP="001B288A">
            <w:pPr>
              <w:keepNext/>
              <w:spacing w:before="53" w:after="30"/>
              <w:jc w:val="right"/>
            </w:pPr>
          </w:p>
        </w:tc>
      </w:tr>
      <w:tr w:rsidR="00DC1B99" w14:paraId="4348AA18"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15146B4" w14:textId="77777777" w:rsidR="00DC1B99" w:rsidRDefault="00DC1B99" w:rsidP="001B288A">
            <w:pPr>
              <w:keepNext/>
              <w:spacing w:before="48" w:after="30"/>
            </w:pPr>
            <w:r>
              <w:rPr>
                <w:rFonts w:ascii="Calibri" w:eastAsia="Calibri" w:hAnsi="Calibri" w:cs="Calibri"/>
                <w:b/>
                <w:color w:val="000000"/>
                <w:sz w:val="21"/>
              </w:rPr>
              <w:t>Profit after taxes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16123CD0"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4B3ADBC" w14:textId="77777777" w:rsidR="00DC1B99" w:rsidRDefault="00DC1B99" w:rsidP="001B288A">
            <w:pPr>
              <w:keepNext/>
              <w:spacing w:before="48" w:after="30"/>
              <w:jc w:val="right"/>
            </w:pPr>
            <w:r>
              <w:rPr>
                <w:rFonts w:ascii="Calibri" w:eastAsia="Calibri" w:hAnsi="Calibri" w:cs="Calibri"/>
                <w:b/>
                <w:color w:val="000000"/>
                <w:sz w:val="21"/>
              </w:rPr>
              <w:t>110,481</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C1CEBA7"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C891DCA" w14:textId="77777777" w:rsidR="00DC1B99" w:rsidRDefault="00DC1B99" w:rsidP="001B288A">
            <w:pPr>
              <w:keepNext/>
              <w:spacing w:before="48" w:after="30"/>
              <w:jc w:val="right"/>
            </w:pPr>
            <w:r>
              <w:rPr>
                <w:rFonts w:ascii="Calibri" w:eastAsia="Calibri" w:hAnsi="Calibri" w:cs="Calibri"/>
                <w:b/>
                <w:color w:val="000000"/>
                <w:sz w:val="21"/>
              </w:rPr>
              <w:t>91,555</w:t>
            </w:r>
          </w:p>
        </w:tc>
      </w:tr>
      <w:tr w:rsidR="00DC1B99" w14:paraId="1D3D89C0"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5B24125" w14:textId="77777777" w:rsidR="00DC1B99" w:rsidRDefault="00DC1B99" w:rsidP="001B288A">
            <w:pPr>
              <w:keepNext/>
              <w:spacing w:before="48" w:after="30"/>
            </w:pPr>
            <w:r>
              <w:rPr>
                <w:rFonts w:ascii="Calibri" w:eastAsia="Calibri" w:hAnsi="Calibri" w:cs="Calibri"/>
                <w:color w:val="000000"/>
                <w:sz w:val="21"/>
              </w:rPr>
              <w:t xml:space="preserve">Depreciation, </w:t>
            </w:r>
            <w:proofErr w:type="gramStart"/>
            <w:r>
              <w:rPr>
                <w:rFonts w:ascii="Calibri" w:eastAsia="Calibri" w:hAnsi="Calibri" w:cs="Calibri"/>
                <w:color w:val="000000"/>
                <w:sz w:val="21"/>
              </w:rPr>
              <w:t>amortization</w:t>
            </w:r>
            <w:proofErr w:type="gramEnd"/>
            <w:r>
              <w:rPr>
                <w:rFonts w:ascii="Calibri" w:eastAsia="Calibri" w:hAnsi="Calibri" w:cs="Calibri"/>
                <w:color w:val="000000"/>
                <w:sz w:val="21"/>
              </w:rPr>
              <w:t xml:space="preserve"> and impairment of assets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327A0DE5"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0F73E1C9" w14:textId="77777777" w:rsidR="00DC1B99" w:rsidRDefault="00DC1B99" w:rsidP="001B288A">
            <w:pPr>
              <w:keepNext/>
              <w:spacing w:before="48" w:after="30"/>
              <w:jc w:val="right"/>
            </w:pPr>
            <w:r>
              <w:rPr>
                <w:rFonts w:ascii="Calibri" w:eastAsia="Calibri" w:hAnsi="Calibri" w:cs="Calibri"/>
                <w:color w:val="000000"/>
                <w:sz w:val="21"/>
              </w:rPr>
              <w:t>175,371</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6BA99C75"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4E4166F" w14:textId="77777777" w:rsidR="00DC1B99" w:rsidRDefault="00DC1B99" w:rsidP="001B288A">
            <w:pPr>
              <w:keepNext/>
              <w:spacing w:before="48" w:after="30"/>
              <w:jc w:val="right"/>
            </w:pPr>
            <w:r>
              <w:rPr>
                <w:rFonts w:ascii="Calibri" w:eastAsia="Calibri" w:hAnsi="Calibri" w:cs="Calibri"/>
                <w:color w:val="000000"/>
                <w:sz w:val="21"/>
              </w:rPr>
              <w:t>136,481</w:t>
            </w:r>
          </w:p>
        </w:tc>
      </w:tr>
      <w:tr w:rsidR="00DC1B99" w14:paraId="6AC43679"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CDA5407" w14:textId="77777777" w:rsidR="00DC1B99" w:rsidRDefault="00DC1B99" w:rsidP="001B288A">
            <w:pPr>
              <w:keepNext/>
              <w:spacing w:before="48" w:after="30"/>
            </w:pPr>
            <w:r>
              <w:rPr>
                <w:rFonts w:ascii="Calibri" w:eastAsia="Calibri" w:hAnsi="Calibri" w:cs="Calibri"/>
                <w:color w:val="000000"/>
                <w:sz w:val="21"/>
              </w:rPr>
              <w:t>Interest and related expenses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3ED6831C"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6709899" w14:textId="77777777" w:rsidR="00DC1B99" w:rsidRDefault="00DC1B99" w:rsidP="001B288A">
            <w:pPr>
              <w:keepNext/>
              <w:spacing w:before="48" w:after="30"/>
              <w:jc w:val="right"/>
            </w:pPr>
            <w:r>
              <w:rPr>
                <w:rFonts w:ascii="Calibri" w:eastAsia="Calibri" w:hAnsi="Calibri" w:cs="Calibri"/>
                <w:color w:val="000000"/>
                <w:sz w:val="21"/>
              </w:rPr>
              <w:t>39,143</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689AEDBC"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A9F426E" w14:textId="77777777" w:rsidR="00DC1B99" w:rsidRDefault="00DC1B99" w:rsidP="001B288A">
            <w:pPr>
              <w:keepNext/>
              <w:spacing w:before="48" w:after="30"/>
              <w:jc w:val="right"/>
            </w:pPr>
            <w:r>
              <w:rPr>
                <w:rFonts w:ascii="Calibri" w:eastAsia="Calibri" w:hAnsi="Calibri" w:cs="Calibri"/>
                <w:color w:val="000000"/>
                <w:sz w:val="21"/>
              </w:rPr>
              <w:t>35,972</w:t>
            </w:r>
          </w:p>
        </w:tc>
      </w:tr>
      <w:tr w:rsidR="00DC1B99" w14:paraId="69F0AF0E"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46AA8DC" w14:textId="77777777" w:rsidR="00DC1B99" w:rsidRDefault="00DC1B99" w:rsidP="001B288A">
            <w:pPr>
              <w:keepNext/>
              <w:spacing w:before="48" w:after="30"/>
            </w:pPr>
            <w:r>
              <w:rPr>
                <w:rFonts w:ascii="Calibri" w:eastAsia="Calibri" w:hAnsi="Calibri" w:cs="Calibri"/>
                <w:color w:val="000000"/>
                <w:sz w:val="21"/>
              </w:rPr>
              <w:t>Other non-cash items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0ADCBECA"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51900E11" w14:textId="77777777" w:rsidR="00DC1B99" w:rsidRDefault="00DC1B99" w:rsidP="001B288A">
            <w:pPr>
              <w:keepNext/>
              <w:spacing w:before="48" w:after="30"/>
              <w:jc w:val="right"/>
            </w:pPr>
            <w:r>
              <w:rPr>
                <w:rFonts w:ascii="Calibri" w:eastAsia="Calibri" w:hAnsi="Calibri" w:cs="Calibri"/>
                <w:color w:val="000000"/>
                <w:sz w:val="21"/>
              </w:rPr>
              <w:t>27,565</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1E789558"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3060B6A" w14:textId="77777777" w:rsidR="00DC1B99" w:rsidRDefault="00DC1B99" w:rsidP="001B288A">
            <w:pPr>
              <w:keepNext/>
              <w:spacing w:before="48" w:after="30"/>
              <w:jc w:val="right"/>
            </w:pPr>
            <w:r>
              <w:rPr>
                <w:rFonts w:ascii="Calibri" w:eastAsia="Calibri" w:hAnsi="Calibri" w:cs="Calibri"/>
                <w:color w:val="000000"/>
                <w:sz w:val="21"/>
              </w:rPr>
              <w:t>10,733</w:t>
            </w:r>
          </w:p>
        </w:tc>
      </w:tr>
      <w:tr w:rsidR="00DC1B99" w14:paraId="04826A7B"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178AC36" w14:textId="77777777" w:rsidR="00DC1B99" w:rsidRDefault="00DC1B99" w:rsidP="001B288A">
            <w:pPr>
              <w:keepNext/>
              <w:spacing w:before="48" w:after="30"/>
            </w:pPr>
            <w:r>
              <w:rPr>
                <w:rFonts w:ascii="Calibri" w:eastAsia="Calibri" w:hAnsi="Calibri" w:cs="Calibri"/>
                <w:color w:val="000000"/>
                <w:sz w:val="21"/>
              </w:rPr>
              <w:t>Changes in working capital</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1D7384B0"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3B60B15" w14:textId="77777777" w:rsidR="00DC1B99" w:rsidRDefault="00DC1B99" w:rsidP="001B288A">
            <w:pPr>
              <w:keepNext/>
              <w:spacing w:before="48" w:after="30"/>
              <w:jc w:val="right"/>
            </w:pPr>
            <w:r>
              <w:rPr>
                <w:rFonts w:ascii="Calibri" w:eastAsia="Calibri" w:hAnsi="Calibri" w:cs="Calibri"/>
                <w:color w:val="000000"/>
                <w:sz w:val="21"/>
              </w:rPr>
              <w:t>-91,911</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9D418D8"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8C9E5D1" w14:textId="77777777" w:rsidR="00DC1B99" w:rsidRDefault="00DC1B99" w:rsidP="001B288A">
            <w:pPr>
              <w:keepNext/>
              <w:spacing w:before="48" w:after="30"/>
              <w:jc w:val="right"/>
            </w:pPr>
            <w:r>
              <w:rPr>
                <w:rFonts w:ascii="Calibri" w:eastAsia="Calibri" w:hAnsi="Calibri" w:cs="Calibri"/>
                <w:color w:val="000000"/>
                <w:sz w:val="21"/>
              </w:rPr>
              <w:t>-43,978</w:t>
            </w:r>
          </w:p>
        </w:tc>
      </w:tr>
      <w:tr w:rsidR="00DC1B99" w14:paraId="53DD1D8B"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A3BA536" w14:textId="77777777" w:rsidR="00DC1B99" w:rsidRDefault="00DC1B99" w:rsidP="001B288A">
            <w:pPr>
              <w:keepNext/>
              <w:spacing w:before="48" w:after="30"/>
            </w:pPr>
            <w:r>
              <w:rPr>
                <w:rFonts w:ascii="Calibri" w:eastAsia="Calibri" w:hAnsi="Calibri" w:cs="Calibri"/>
                <w:b/>
                <w:color w:val="000000"/>
                <w:sz w:val="21"/>
              </w:rPr>
              <w:t>Cash generated from operations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7D3DC8C1"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64B8089" w14:textId="77777777" w:rsidR="00DC1B99" w:rsidRDefault="00DC1B99" w:rsidP="001B288A">
            <w:pPr>
              <w:keepNext/>
              <w:spacing w:before="48" w:after="30"/>
              <w:jc w:val="right"/>
            </w:pPr>
            <w:r>
              <w:rPr>
                <w:rFonts w:ascii="Calibri" w:eastAsia="Calibri" w:hAnsi="Calibri" w:cs="Calibri"/>
                <w:b/>
                <w:color w:val="000000"/>
                <w:sz w:val="21"/>
              </w:rPr>
              <w:t>260,649</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598EDB50"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8807A35" w14:textId="77777777" w:rsidR="00DC1B99" w:rsidRDefault="00DC1B99" w:rsidP="001B288A">
            <w:pPr>
              <w:keepNext/>
              <w:spacing w:before="48" w:after="30"/>
              <w:jc w:val="right"/>
            </w:pPr>
            <w:r>
              <w:rPr>
                <w:rFonts w:ascii="Calibri" w:eastAsia="Calibri" w:hAnsi="Calibri" w:cs="Calibri"/>
                <w:b/>
                <w:color w:val="000000"/>
                <w:sz w:val="21"/>
              </w:rPr>
              <w:t>230,763</w:t>
            </w:r>
          </w:p>
        </w:tc>
      </w:tr>
      <w:tr w:rsidR="00DC1B99" w14:paraId="2402E085"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4C3329D" w14:textId="77777777" w:rsidR="00DC1B99" w:rsidRDefault="00DC1B99" w:rsidP="001B288A">
            <w:pPr>
              <w:keepNext/>
              <w:spacing w:before="48" w:after="30"/>
            </w:pPr>
            <w:r>
              <w:rPr>
                <w:rFonts w:ascii="Calibri" w:eastAsia="Calibri" w:hAnsi="Calibri" w:cs="Calibri"/>
                <w:color w:val="000000"/>
                <w:sz w:val="21"/>
              </w:rPr>
              <w:t>Income tax paid</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2F799810"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6CB6E49" w14:textId="77777777" w:rsidR="00DC1B99" w:rsidRDefault="00DC1B99" w:rsidP="001B288A">
            <w:pPr>
              <w:keepNext/>
              <w:spacing w:before="48" w:after="30"/>
              <w:jc w:val="right"/>
            </w:pPr>
            <w:r>
              <w:rPr>
                <w:rFonts w:ascii="Calibri" w:eastAsia="Calibri" w:hAnsi="Calibri" w:cs="Calibri"/>
                <w:color w:val="000000"/>
                <w:sz w:val="21"/>
              </w:rPr>
              <w:t>-16,679</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552C382"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32315A9" w14:textId="77777777" w:rsidR="00DC1B99" w:rsidRDefault="00DC1B99" w:rsidP="001B288A">
            <w:pPr>
              <w:keepNext/>
              <w:spacing w:before="48" w:after="30"/>
              <w:jc w:val="right"/>
            </w:pPr>
            <w:r>
              <w:rPr>
                <w:rFonts w:ascii="Calibri" w:eastAsia="Calibri" w:hAnsi="Calibri" w:cs="Calibri"/>
                <w:color w:val="000000"/>
                <w:sz w:val="21"/>
              </w:rPr>
              <w:t>-12,172</w:t>
            </w:r>
          </w:p>
        </w:tc>
      </w:tr>
      <w:tr w:rsidR="00DC1B99" w14:paraId="050354B5"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D6C05FE" w14:textId="77777777" w:rsidR="00DC1B99" w:rsidRDefault="00DC1B99" w:rsidP="001B288A">
            <w:pPr>
              <w:keepNext/>
              <w:spacing w:before="48" w:after="30"/>
            </w:pPr>
            <w:r>
              <w:rPr>
                <w:rFonts w:ascii="Calibri" w:eastAsia="Calibri" w:hAnsi="Calibri" w:cs="Calibri"/>
                <w:b/>
                <w:color w:val="000000"/>
                <w:sz w:val="21"/>
              </w:rPr>
              <w:t>Net cash generated from operating activities (a)</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542E932D" w14:textId="77777777" w:rsidR="00DC1B99" w:rsidRDefault="00DC1B99" w:rsidP="001B288A">
            <w:pPr>
              <w:keepNext/>
              <w:spacing w:before="48" w:after="30"/>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9D0FE24" w14:textId="77777777" w:rsidR="00DC1B99" w:rsidRDefault="00DC1B99" w:rsidP="001B288A">
            <w:pPr>
              <w:keepNext/>
              <w:spacing w:before="48" w:after="30"/>
              <w:jc w:val="right"/>
            </w:pPr>
            <w:r>
              <w:rPr>
                <w:rFonts w:ascii="Calibri" w:eastAsia="Calibri" w:hAnsi="Calibri" w:cs="Calibri"/>
                <w:b/>
                <w:color w:val="000000"/>
                <w:sz w:val="21"/>
              </w:rPr>
              <w:t>243,970</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1B267ED"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4498F18" w14:textId="77777777" w:rsidR="00DC1B99" w:rsidRDefault="00DC1B99" w:rsidP="001B288A">
            <w:pPr>
              <w:keepNext/>
              <w:spacing w:before="48" w:after="30"/>
              <w:jc w:val="right"/>
            </w:pPr>
            <w:r>
              <w:rPr>
                <w:rFonts w:ascii="Calibri" w:eastAsia="Calibri" w:hAnsi="Calibri" w:cs="Calibri"/>
                <w:b/>
                <w:color w:val="000000"/>
                <w:sz w:val="21"/>
              </w:rPr>
              <w:t>218,591</w:t>
            </w:r>
          </w:p>
        </w:tc>
      </w:tr>
      <w:tr w:rsidR="00DC1B99" w14:paraId="39EF36D4"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BD544B8" w14:textId="77777777" w:rsidR="00DC1B99" w:rsidRDefault="00DC1B99" w:rsidP="001B288A">
            <w:pPr>
              <w:keepNext/>
              <w:spacing w:before="48"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6FBA440C" w14:textId="77777777" w:rsidR="00DC1B99" w:rsidRDefault="00DC1B99" w:rsidP="001B288A">
            <w:pPr>
              <w:keepNext/>
              <w:spacing w:before="48" w:after="30"/>
            </w:pPr>
          </w:p>
        </w:tc>
        <w:tc>
          <w:tcPr>
            <w:tcW w:w="1636"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57D16E47"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1880859E" w14:textId="77777777" w:rsidR="00DC1B99" w:rsidRDefault="00DC1B99" w:rsidP="001B288A">
            <w:pPr>
              <w:keepNext/>
              <w:spacing w:before="48" w:after="30"/>
              <w:jc w:val="right"/>
            </w:pPr>
          </w:p>
        </w:tc>
        <w:tc>
          <w:tcPr>
            <w:tcW w:w="1638"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1592C07D" w14:textId="77777777" w:rsidR="00DC1B99" w:rsidRDefault="00DC1B99" w:rsidP="001B288A">
            <w:pPr>
              <w:keepNext/>
              <w:spacing w:before="48" w:after="30"/>
              <w:jc w:val="right"/>
            </w:pPr>
          </w:p>
        </w:tc>
      </w:tr>
      <w:tr w:rsidR="00DC1B99" w14:paraId="3D5D5083"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29173E6E" w14:textId="77777777" w:rsidR="00DC1B99" w:rsidRDefault="00DC1B99" w:rsidP="001B288A">
            <w:pPr>
              <w:keepNext/>
              <w:spacing w:before="48" w:after="30"/>
            </w:pPr>
            <w:r>
              <w:rPr>
                <w:rFonts w:ascii="Calibri" w:eastAsia="Calibri" w:hAnsi="Calibri" w:cs="Calibri"/>
                <w:b/>
                <w:color w:val="4F81BD"/>
              </w:rPr>
              <w:t>Cash flows from investing activities</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7BC2CC83" w14:textId="77777777" w:rsidR="00DC1B99" w:rsidRDefault="00DC1B99" w:rsidP="001B288A">
            <w:pPr>
              <w:keepNext/>
              <w:spacing w:before="48" w:after="30"/>
            </w:pPr>
          </w:p>
        </w:tc>
        <w:tc>
          <w:tcPr>
            <w:tcW w:w="1636"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7B2CB386"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7CF01848" w14:textId="77777777" w:rsidR="00DC1B99" w:rsidRDefault="00DC1B99" w:rsidP="001B288A">
            <w:pPr>
              <w:keepNext/>
              <w:spacing w:before="48" w:after="30"/>
              <w:jc w:val="right"/>
            </w:pPr>
          </w:p>
        </w:tc>
        <w:tc>
          <w:tcPr>
            <w:tcW w:w="1638"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21E0850F" w14:textId="77777777" w:rsidR="00DC1B99" w:rsidRDefault="00DC1B99" w:rsidP="001B288A">
            <w:pPr>
              <w:keepNext/>
              <w:spacing w:before="48" w:after="30"/>
              <w:jc w:val="right"/>
            </w:pPr>
          </w:p>
        </w:tc>
      </w:tr>
      <w:tr w:rsidR="00DC1B99" w14:paraId="5CDE5456"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FE6970B" w14:textId="77777777" w:rsidR="00DC1B99" w:rsidRDefault="00DC1B99" w:rsidP="001B288A">
            <w:pPr>
              <w:keepNext/>
              <w:spacing w:before="48" w:after="30"/>
            </w:pPr>
            <w:r>
              <w:rPr>
                <w:rFonts w:ascii="Calibri" w:eastAsia="Calibri" w:hAnsi="Calibri" w:cs="Calibri"/>
                <w:color w:val="000000"/>
                <w:sz w:val="21"/>
              </w:rPr>
              <w:t>Payments for intangible assets, property, plant &amp; equipment</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0C3D5897" w14:textId="77777777" w:rsidR="00DC1B99" w:rsidRDefault="00DC1B99" w:rsidP="001B288A">
            <w:pPr>
              <w:keepNext/>
              <w:spacing w:before="48" w:after="30"/>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87C594C" w14:textId="77777777" w:rsidR="00DC1B99" w:rsidRDefault="00DC1B99" w:rsidP="001B288A">
            <w:pPr>
              <w:keepNext/>
              <w:spacing w:before="48" w:after="30"/>
              <w:jc w:val="right"/>
            </w:pPr>
            <w:r>
              <w:rPr>
                <w:rFonts w:ascii="Calibri" w:eastAsia="Calibri" w:hAnsi="Calibri" w:cs="Calibri"/>
                <w:color w:val="000000"/>
                <w:sz w:val="21"/>
              </w:rPr>
              <w:t>-241,893</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457A742D"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5C7CBB3" w14:textId="77777777" w:rsidR="00DC1B99" w:rsidRDefault="00DC1B99" w:rsidP="001B288A">
            <w:pPr>
              <w:keepNext/>
              <w:spacing w:before="48" w:after="30"/>
              <w:jc w:val="right"/>
            </w:pPr>
            <w:r>
              <w:rPr>
                <w:rFonts w:ascii="Calibri" w:eastAsia="Calibri" w:hAnsi="Calibri" w:cs="Calibri"/>
                <w:color w:val="000000"/>
                <w:sz w:val="21"/>
              </w:rPr>
              <w:t>-126,044</w:t>
            </w:r>
          </w:p>
        </w:tc>
      </w:tr>
      <w:tr w:rsidR="00DC1B99" w14:paraId="7012406C" w14:textId="77777777" w:rsidTr="0002184F">
        <w:trPr>
          <w:cantSplit/>
          <w:trHeight w:hRule="exact" w:val="53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8565DED" w14:textId="77777777" w:rsidR="00DC1B99" w:rsidRDefault="00DC1B99" w:rsidP="001B288A">
            <w:pPr>
              <w:keepNext/>
              <w:spacing w:before="48" w:after="30"/>
            </w:pPr>
            <w:r>
              <w:rPr>
                <w:rFonts w:ascii="Calibri" w:eastAsia="Calibri" w:hAnsi="Calibri" w:cs="Calibri"/>
                <w:color w:val="000000"/>
                <w:sz w:val="21"/>
              </w:rPr>
              <w:t xml:space="preserve">Proceeds from sale of PPE, intangible </w:t>
            </w:r>
            <w:proofErr w:type="gramStart"/>
            <w:r>
              <w:rPr>
                <w:rFonts w:ascii="Calibri" w:eastAsia="Calibri" w:hAnsi="Calibri" w:cs="Calibri"/>
                <w:color w:val="000000"/>
                <w:sz w:val="21"/>
              </w:rPr>
              <w:t>assets</w:t>
            </w:r>
            <w:proofErr w:type="gramEnd"/>
            <w:r>
              <w:rPr>
                <w:rFonts w:ascii="Calibri" w:eastAsia="Calibri" w:hAnsi="Calibri" w:cs="Calibri"/>
                <w:color w:val="000000"/>
                <w:sz w:val="21"/>
              </w:rPr>
              <w:t xml:space="preserve"> and investment property</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045E4284" w14:textId="77777777" w:rsidR="00DC1B99" w:rsidRDefault="00DC1B99" w:rsidP="001B288A">
            <w:pPr>
              <w:keepNext/>
              <w:spacing w:before="48" w:after="30"/>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F2A6745" w14:textId="77777777" w:rsidR="00DC1B99" w:rsidRDefault="00DC1B99" w:rsidP="001B288A">
            <w:pPr>
              <w:keepNext/>
              <w:spacing w:before="48" w:after="30"/>
              <w:jc w:val="right"/>
            </w:pPr>
            <w:r>
              <w:rPr>
                <w:rFonts w:ascii="Calibri" w:eastAsia="Calibri" w:hAnsi="Calibri" w:cs="Calibri"/>
                <w:color w:val="000000"/>
                <w:sz w:val="21"/>
              </w:rPr>
              <w:t>5,748</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8C88714"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FF2C8E9" w14:textId="77777777" w:rsidR="00DC1B99" w:rsidRDefault="00DC1B99" w:rsidP="001B288A">
            <w:pPr>
              <w:keepNext/>
              <w:spacing w:before="48" w:after="30"/>
              <w:jc w:val="right"/>
            </w:pPr>
            <w:r>
              <w:rPr>
                <w:rFonts w:ascii="Calibri" w:eastAsia="Calibri" w:hAnsi="Calibri" w:cs="Calibri"/>
                <w:color w:val="000000"/>
                <w:sz w:val="21"/>
              </w:rPr>
              <w:t>8,694</w:t>
            </w:r>
          </w:p>
        </w:tc>
      </w:tr>
      <w:tr w:rsidR="00DC1B99" w14:paraId="1D81F06C"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73E6EC4" w14:textId="77777777" w:rsidR="00DC1B99" w:rsidRDefault="00DC1B99" w:rsidP="001B288A">
            <w:pPr>
              <w:keepNext/>
              <w:spacing w:before="48" w:after="30"/>
            </w:pPr>
            <w:r>
              <w:rPr>
                <w:rFonts w:ascii="Calibri" w:eastAsia="Calibri" w:hAnsi="Calibri" w:cs="Calibri"/>
                <w:color w:val="000000"/>
                <w:sz w:val="21"/>
              </w:rPr>
              <w:t>Proceeds from dividends</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012C0EAD" w14:textId="77777777" w:rsidR="00DC1B99" w:rsidRDefault="00DC1B99" w:rsidP="001B288A">
            <w:pPr>
              <w:keepNext/>
              <w:spacing w:before="48" w:after="30"/>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23BC28A" w14:textId="77777777" w:rsidR="00DC1B99" w:rsidRDefault="00DC1B99" w:rsidP="001B288A">
            <w:pPr>
              <w:keepNext/>
              <w:spacing w:before="48" w:after="30"/>
              <w:jc w:val="right"/>
            </w:pPr>
            <w:r>
              <w:rPr>
                <w:rFonts w:ascii="Calibri" w:eastAsia="Calibri" w:hAnsi="Calibri" w:cs="Calibri"/>
                <w:color w:val="000000"/>
                <w:sz w:val="21"/>
              </w:rPr>
              <w:t>1,180</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19A2EABF"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A1472B9" w14:textId="77777777" w:rsidR="00DC1B99" w:rsidRDefault="00DC1B99" w:rsidP="001B288A">
            <w:pPr>
              <w:keepNext/>
              <w:spacing w:before="48" w:after="30"/>
              <w:jc w:val="right"/>
            </w:pPr>
            <w:r>
              <w:rPr>
                <w:rFonts w:ascii="Calibri" w:eastAsia="Calibri" w:hAnsi="Calibri" w:cs="Calibri"/>
                <w:color w:val="000000"/>
                <w:sz w:val="21"/>
              </w:rPr>
              <w:t>934</w:t>
            </w:r>
          </w:p>
        </w:tc>
      </w:tr>
      <w:tr w:rsidR="00DC1B99" w14:paraId="6655397C" w14:textId="77777777" w:rsidTr="0002184F">
        <w:trPr>
          <w:cantSplit/>
          <w:trHeight w:hRule="exact" w:val="53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CF12CD3" w14:textId="3C04B1D9" w:rsidR="00DC1B99" w:rsidRDefault="00DC1B99" w:rsidP="001B288A">
            <w:pPr>
              <w:keepNext/>
              <w:spacing w:before="48" w:after="30"/>
            </w:pPr>
            <w:r>
              <w:rPr>
                <w:rFonts w:ascii="Calibri" w:eastAsia="Calibri" w:hAnsi="Calibri" w:cs="Calibri"/>
                <w:color w:val="000000"/>
                <w:sz w:val="21"/>
              </w:rPr>
              <w:t>Net proceeds from changes in investments to affiliates and other investing activities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6B5164B7"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C91C2AB" w14:textId="77777777" w:rsidR="00DC1B99" w:rsidRDefault="00DC1B99" w:rsidP="001B288A">
            <w:pPr>
              <w:keepNext/>
              <w:spacing w:before="48" w:after="30"/>
              <w:jc w:val="right"/>
            </w:pPr>
            <w:r>
              <w:rPr>
                <w:rFonts w:ascii="Calibri" w:eastAsia="Calibri" w:hAnsi="Calibri" w:cs="Calibri"/>
                <w:color w:val="000000"/>
                <w:sz w:val="21"/>
              </w:rPr>
              <w:t>893</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6EE5F7DB"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7626F51" w14:textId="77777777" w:rsidR="00DC1B99" w:rsidRDefault="00DC1B99" w:rsidP="001B288A">
            <w:pPr>
              <w:keepNext/>
              <w:spacing w:before="48" w:after="30"/>
              <w:jc w:val="right"/>
            </w:pPr>
            <w:r>
              <w:rPr>
                <w:rFonts w:ascii="Calibri" w:eastAsia="Calibri" w:hAnsi="Calibri" w:cs="Calibri"/>
                <w:color w:val="000000"/>
                <w:sz w:val="21"/>
              </w:rPr>
              <w:t>826</w:t>
            </w:r>
          </w:p>
        </w:tc>
      </w:tr>
      <w:tr w:rsidR="00DC1B99" w14:paraId="27A1AA07"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E8B39B0" w14:textId="77777777" w:rsidR="00DC1B99" w:rsidRDefault="00DC1B99" w:rsidP="001B288A">
            <w:pPr>
              <w:keepNext/>
              <w:spacing w:before="48" w:after="30"/>
            </w:pPr>
            <w:r>
              <w:rPr>
                <w:rFonts w:ascii="Calibri" w:eastAsia="Calibri" w:hAnsi="Calibri" w:cs="Calibri"/>
                <w:b/>
                <w:color w:val="000000"/>
                <w:sz w:val="21"/>
              </w:rPr>
              <w:t>Net cash flows used in investing activities (b)</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6E310780"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9F9AF5C" w14:textId="77777777" w:rsidR="00DC1B99" w:rsidRDefault="00DC1B99" w:rsidP="001B288A">
            <w:pPr>
              <w:keepNext/>
              <w:spacing w:before="48" w:after="30"/>
              <w:jc w:val="right"/>
            </w:pPr>
            <w:r>
              <w:rPr>
                <w:rFonts w:ascii="Calibri" w:eastAsia="Calibri" w:hAnsi="Calibri" w:cs="Calibri"/>
                <w:b/>
                <w:color w:val="000000"/>
                <w:sz w:val="21"/>
              </w:rPr>
              <w:t>-234,072</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AC951FC"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85B0A2A" w14:textId="77777777" w:rsidR="00DC1B99" w:rsidRDefault="00DC1B99" w:rsidP="001B288A">
            <w:pPr>
              <w:keepNext/>
              <w:spacing w:before="48" w:after="30"/>
              <w:jc w:val="right"/>
            </w:pPr>
            <w:r>
              <w:rPr>
                <w:rFonts w:ascii="Calibri" w:eastAsia="Calibri" w:hAnsi="Calibri" w:cs="Calibri"/>
                <w:b/>
                <w:color w:val="000000"/>
                <w:sz w:val="21"/>
              </w:rPr>
              <w:t>-115,590</w:t>
            </w:r>
          </w:p>
        </w:tc>
      </w:tr>
      <w:tr w:rsidR="00DC1B99" w14:paraId="7DD01387"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0048DF0" w14:textId="77777777" w:rsidR="00DC1B99" w:rsidRDefault="00DC1B99" w:rsidP="001B288A">
            <w:pPr>
              <w:keepNext/>
              <w:spacing w:before="48"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49C5D6ED" w14:textId="77777777" w:rsidR="00DC1B99" w:rsidRDefault="00DC1B99" w:rsidP="001B288A">
            <w:pPr>
              <w:keepNext/>
              <w:spacing w:before="48" w:after="30"/>
              <w:jc w:val="center"/>
            </w:pPr>
          </w:p>
        </w:tc>
        <w:tc>
          <w:tcPr>
            <w:tcW w:w="1636"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5D3186B"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4E5C8BCD"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F6C0386" w14:textId="77777777" w:rsidR="00DC1B99" w:rsidRDefault="00DC1B99" w:rsidP="001B288A">
            <w:pPr>
              <w:keepNext/>
              <w:spacing w:before="48" w:after="30"/>
              <w:jc w:val="right"/>
            </w:pPr>
          </w:p>
        </w:tc>
      </w:tr>
      <w:tr w:rsidR="00DC1B99" w14:paraId="4281E1F3"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28A18CE" w14:textId="77777777" w:rsidR="00DC1B99" w:rsidRDefault="00DC1B99" w:rsidP="001B288A">
            <w:pPr>
              <w:keepNext/>
              <w:spacing w:before="48" w:after="30"/>
            </w:pPr>
            <w:r>
              <w:rPr>
                <w:rFonts w:ascii="Calibri" w:eastAsia="Calibri" w:hAnsi="Calibri" w:cs="Calibri"/>
                <w:b/>
                <w:color w:val="000000"/>
                <w:sz w:val="21"/>
              </w:rPr>
              <w:t>Net cash flows after investing activities (a)+(b)</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76E66CED"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00EDB4FD" w14:textId="77777777" w:rsidR="00DC1B99" w:rsidRDefault="00DC1B99" w:rsidP="001B288A">
            <w:pPr>
              <w:keepNext/>
              <w:spacing w:before="48" w:after="30"/>
              <w:jc w:val="right"/>
            </w:pPr>
            <w:r>
              <w:rPr>
                <w:rFonts w:ascii="Calibri" w:eastAsia="Calibri" w:hAnsi="Calibri" w:cs="Calibri"/>
                <w:b/>
                <w:color w:val="000000"/>
                <w:sz w:val="21"/>
              </w:rPr>
              <w:t>9,898</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3A450F2C"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0663ECD9" w14:textId="77777777" w:rsidR="00DC1B99" w:rsidRDefault="00DC1B99" w:rsidP="001B288A">
            <w:pPr>
              <w:keepNext/>
              <w:spacing w:before="48" w:after="30"/>
              <w:jc w:val="right"/>
            </w:pPr>
            <w:r>
              <w:rPr>
                <w:rFonts w:ascii="Calibri" w:eastAsia="Calibri" w:hAnsi="Calibri" w:cs="Calibri"/>
                <w:b/>
                <w:color w:val="000000"/>
                <w:sz w:val="21"/>
              </w:rPr>
              <w:t>103,001</w:t>
            </w:r>
          </w:p>
        </w:tc>
      </w:tr>
      <w:tr w:rsidR="00DC1B99" w14:paraId="57332E31"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BC60C0F" w14:textId="77777777" w:rsidR="00DC1B99" w:rsidRDefault="00DC1B99" w:rsidP="001B288A">
            <w:pPr>
              <w:keepNext/>
              <w:spacing w:before="48"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47C95AB0" w14:textId="77777777" w:rsidR="00DC1B99" w:rsidRDefault="00DC1B99" w:rsidP="001B288A">
            <w:pPr>
              <w:keepNext/>
              <w:spacing w:before="48" w:after="30"/>
            </w:pPr>
          </w:p>
        </w:tc>
        <w:tc>
          <w:tcPr>
            <w:tcW w:w="1636"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12A8F778"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772A6EC9" w14:textId="77777777" w:rsidR="00DC1B99" w:rsidRDefault="00DC1B99" w:rsidP="001B288A">
            <w:pPr>
              <w:keepNext/>
              <w:spacing w:before="48" w:after="30"/>
              <w:jc w:val="right"/>
            </w:pPr>
          </w:p>
        </w:tc>
        <w:tc>
          <w:tcPr>
            <w:tcW w:w="1638" w:type="dxa"/>
            <w:tcBorders>
              <w:top w:val="single" w:sz="2" w:space="0" w:color="000000"/>
              <w:left w:val="nil"/>
              <w:bottom w:val="nil"/>
              <w:right w:val="nil"/>
            </w:tcBorders>
            <w:shd w:val="clear" w:color="auto" w:fill="FFFFFF"/>
            <w:tcMar>
              <w:top w:w="0" w:type="dxa"/>
              <w:left w:w="0" w:type="dxa"/>
              <w:bottom w:w="0" w:type="dxa"/>
              <w:right w:w="53" w:type="dxa"/>
            </w:tcMar>
            <w:vAlign w:val="bottom"/>
          </w:tcPr>
          <w:p w14:paraId="31E91E11" w14:textId="77777777" w:rsidR="00DC1B99" w:rsidRDefault="00DC1B99" w:rsidP="001B288A">
            <w:pPr>
              <w:keepNext/>
              <w:spacing w:before="48" w:after="30"/>
              <w:jc w:val="right"/>
            </w:pPr>
          </w:p>
        </w:tc>
      </w:tr>
      <w:tr w:rsidR="00DC1B99" w14:paraId="3169F72A"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17FFA98" w14:textId="77777777" w:rsidR="00DC1B99" w:rsidRDefault="00DC1B99" w:rsidP="001B288A">
            <w:pPr>
              <w:keepNext/>
              <w:spacing w:before="48" w:after="30"/>
            </w:pPr>
            <w:r>
              <w:rPr>
                <w:rFonts w:ascii="Calibri" w:eastAsia="Calibri" w:hAnsi="Calibri" w:cs="Calibri"/>
                <w:b/>
                <w:color w:val="4F81BD"/>
              </w:rPr>
              <w:t>Cash flows from financing activities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05BD8F89" w14:textId="77777777" w:rsidR="00DC1B99" w:rsidRDefault="00DC1B99" w:rsidP="001B288A">
            <w:pPr>
              <w:keepNext/>
              <w:spacing w:before="48" w:after="30"/>
              <w:jc w:val="right"/>
            </w:pPr>
          </w:p>
        </w:tc>
        <w:tc>
          <w:tcPr>
            <w:tcW w:w="1636"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543826FA"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93C251B" w14:textId="77777777" w:rsidR="00DC1B99" w:rsidRDefault="00DC1B99" w:rsidP="001B288A">
            <w:pPr>
              <w:keepNext/>
              <w:spacing w:before="48" w:after="30"/>
              <w:jc w:val="right"/>
            </w:pPr>
          </w:p>
        </w:tc>
        <w:tc>
          <w:tcPr>
            <w:tcW w:w="1638" w:type="dxa"/>
            <w:tcBorders>
              <w:top w:val="nil"/>
              <w:left w:val="nil"/>
              <w:bottom w:val="single" w:sz="2" w:space="0" w:color="000000"/>
              <w:right w:val="nil"/>
            </w:tcBorders>
            <w:shd w:val="clear" w:color="auto" w:fill="FFFFFF"/>
            <w:tcMar>
              <w:top w:w="0" w:type="dxa"/>
              <w:left w:w="0" w:type="dxa"/>
              <w:bottom w:w="0" w:type="dxa"/>
              <w:right w:w="53" w:type="dxa"/>
            </w:tcMar>
            <w:vAlign w:val="bottom"/>
          </w:tcPr>
          <w:p w14:paraId="63683FF1" w14:textId="77777777" w:rsidR="00DC1B99" w:rsidRDefault="00DC1B99" w:rsidP="001B288A">
            <w:pPr>
              <w:keepNext/>
              <w:spacing w:before="48" w:after="30"/>
              <w:jc w:val="right"/>
            </w:pPr>
          </w:p>
        </w:tc>
      </w:tr>
      <w:tr w:rsidR="00DC1B99" w14:paraId="45AED753"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93BCE57" w14:textId="77777777" w:rsidR="00DC1B99" w:rsidRDefault="00DC1B99" w:rsidP="001B288A">
            <w:pPr>
              <w:keepNext/>
              <w:spacing w:before="48" w:after="30"/>
            </w:pPr>
            <w:r>
              <w:rPr>
                <w:rFonts w:ascii="Calibri" w:eastAsia="Calibri" w:hAnsi="Calibri" w:cs="Calibri"/>
                <w:color w:val="000000"/>
                <w:sz w:val="21"/>
              </w:rPr>
              <w:t>Acquisition of non-controlling interests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1667AF68"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2C0ED6B" w14:textId="77777777" w:rsidR="00DC1B99" w:rsidRDefault="00DC1B99" w:rsidP="001B288A">
            <w:pPr>
              <w:keepNext/>
              <w:spacing w:before="48" w:after="30"/>
              <w:jc w:val="right"/>
            </w:pPr>
            <w:r>
              <w:rPr>
                <w:rFonts w:ascii="Calibri" w:eastAsia="Calibri" w:hAnsi="Calibri" w:cs="Calibri"/>
                <w:b/>
                <w:color w:val="000000"/>
                <w:sz w:val="21"/>
              </w:rPr>
              <w:t>-</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5E60E408"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4618EFA8" w14:textId="77777777" w:rsidR="00DC1B99" w:rsidRDefault="00DC1B99" w:rsidP="001B288A">
            <w:pPr>
              <w:keepNext/>
              <w:spacing w:before="48" w:after="30"/>
              <w:jc w:val="right"/>
            </w:pPr>
            <w:r>
              <w:rPr>
                <w:rFonts w:ascii="Calibri" w:eastAsia="Calibri" w:hAnsi="Calibri" w:cs="Calibri"/>
                <w:color w:val="000000"/>
                <w:sz w:val="21"/>
              </w:rPr>
              <w:t>-40,814</w:t>
            </w:r>
          </w:p>
        </w:tc>
      </w:tr>
      <w:tr w:rsidR="00DC1B99" w14:paraId="1704F9C6"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F875614" w14:textId="77777777" w:rsidR="00DC1B99" w:rsidRDefault="00DC1B99" w:rsidP="001B288A">
            <w:pPr>
              <w:keepNext/>
              <w:spacing w:before="48" w:after="30"/>
            </w:pPr>
            <w:r>
              <w:rPr>
                <w:rFonts w:ascii="Calibri" w:eastAsia="Calibri" w:hAnsi="Calibri" w:cs="Calibri"/>
                <w:color w:val="000000"/>
                <w:sz w:val="21"/>
              </w:rPr>
              <w:t>Payments due to share capital decreases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65FE2FAE"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3780E0F" w14:textId="77777777" w:rsidR="00DC1B99" w:rsidRDefault="00DC1B99" w:rsidP="001B288A">
            <w:pPr>
              <w:keepNext/>
              <w:spacing w:before="48" w:after="30"/>
              <w:jc w:val="right"/>
            </w:pPr>
            <w:r>
              <w:rPr>
                <w:rFonts w:ascii="Calibri" w:eastAsia="Calibri" w:hAnsi="Calibri" w:cs="Calibri"/>
                <w:b/>
                <w:color w:val="000000"/>
                <w:sz w:val="21"/>
              </w:rPr>
              <w:t>-</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FC04C37"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F3889A2" w14:textId="77777777" w:rsidR="00DC1B99" w:rsidRDefault="00DC1B99" w:rsidP="001B288A">
            <w:pPr>
              <w:keepNext/>
              <w:spacing w:before="48" w:after="30"/>
              <w:jc w:val="right"/>
            </w:pPr>
            <w:r>
              <w:rPr>
                <w:rFonts w:ascii="Calibri" w:eastAsia="Calibri" w:hAnsi="Calibri" w:cs="Calibri"/>
                <w:color w:val="000000"/>
                <w:sz w:val="21"/>
              </w:rPr>
              <w:t>-767</w:t>
            </w:r>
          </w:p>
        </w:tc>
      </w:tr>
      <w:tr w:rsidR="00DC1B99" w14:paraId="209B7014"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4EEE650" w14:textId="77777777" w:rsidR="00DC1B99" w:rsidRDefault="00DC1B99" w:rsidP="001B288A">
            <w:pPr>
              <w:keepNext/>
              <w:spacing w:before="48" w:after="30"/>
            </w:pPr>
            <w:r>
              <w:rPr>
                <w:rFonts w:ascii="Calibri" w:eastAsia="Calibri" w:hAnsi="Calibri" w:cs="Calibri"/>
                <w:color w:val="000000"/>
                <w:sz w:val="21"/>
              </w:rPr>
              <w:t xml:space="preserve">Dividends paid and </w:t>
            </w:r>
            <w:proofErr w:type="gramStart"/>
            <w:r>
              <w:rPr>
                <w:rFonts w:ascii="Calibri" w:eastAsia="Calibri" w:hAnsi="Calibri" w:cs="Calibri"/>
                <w:color w:val="000000"/>
                <w:sz w:val="21"/>
              </w:rPr>
              <w:t>share</w:t>
            </w:r>
            <w:proofErr w:type="gramEnd"/>
            <w:r>
              <w:rPr>
                <w:rFonts w:ascii="Calibri" w:eastAsia="Calibri" w:hAnsi="Calibri" w:cs="Calibri"/>
                <w:color w:val="000000"/>
                <w:sz w:val="21"/>
              </w:rPr>
              <w:t xml:space="preserve"> capital returns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4C066C8B"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2D7EF666" w14:textId="77777777" w:rsidR="00DC1B99" w:rsidRDefault="00DC1B99" w:rsidP="001B288A">
            <w:pPr>
              <w:keepNext/>
              <w:spacing w:before="48" w:after="30"/>
              <w:jc w:val="right"/>
            </w:pPr>
            <w:r>
              <w:rPr>
                <w:rFonts w:ascii="Calibri" w:eastAsia="Calibri" w:hAnsi="Calibri" w:cs="Calibri"/>
                <w:color w:val="000000"/>
                <w:sz w:val="21"/>
              </w:rPr>
              <w:t>-38,618</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7ABF8217"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FEEA0CC" w14:textId="77777777" w:rsidR="00DC1B99" w:rsidRDefault="00DC1B99" w:rsidP="001B288A">
            <w:pPr>
              <w:keepNext/>
              <w:spacing w:before="48" w:after="30"/>
              <w:jc w:val="right"/>
            </w:pPr>
            <w:r>
              <w:rPr>
                <w:rFonts w:ascii="Calibri" w:eastAsia="Calibri" w:hAnsi="Calibri" w:cs="Calibri"/>
                <w:color w:val="000000"/>
                <w:sz w:val="21"/>
              </w:rPr>
              <w:t>-31,985</w:t>
            </w:r>
          </w:p>
        </w:tc>
      </w:tr>
      <w:tr w:rsidR="00DC1B99" w14:paraId="3BD3C977"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6276B10" w14:textId="77777777" w:rsidR="00DC1B99" w:rsidRDefault="00DC1B99" w:rsidP="001B288A">
            <w:pPr>
              <w:keepNext/>
              <w:spacing w:before="48" w:after="30"/>
            </w:pPr>
            <w:r>
              <w:rPr>
                <w:rFonts w:ascii="Calibri" w:eastAsia="Calibri" w:hAnsi="Calibri" w:cs="Calibri"/>
                <w:color w:val="000000"/>
                <w:sz w:val="21"/>
              </w:rPr>
              <w:t>Payments for shares purchased back</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3142F657"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0F143EA" w14:textId="77777777" w:rsidR="00DC1B99" w:rsidRDefault="00DC1B99" w:rsidP="001B288A">
            <w:pPr>
              <w:keepNext/>
              <w:spacing w:before="48" w:after="30"/>
              <w:jc w:val="right"/>
            </w:pPr>
            <w:r>
              <w:rPr>
                <w:rFonts w:ascii="Calibri" w:eastAsia="Calibri" w:hAnsi="Calibri" w:cs="Calibri"/>
                <w:color w:val="000000"/>
                <w:sz w:val="21"/>
              </w:rPr>
              <w:t>-23,814</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72C75FD1"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65B3BFD9" w14:textId="77777777" w:rsidR="00DC1B99" w:rsidRDefault="00DC1B99" w:rsidP="001B288A">
            <w:pPr>
              <w:keepNext/>
              <w:spacing w:before="48" w:after="30"/>
              <w:jc w:val="right"/>
            </w:pPr>
            <w:r>
              <w:rPr>
                <w:rFonts w:ascii="Calibri" w:eastAsia="Calibri" w:hAnsi="Calibri" w:cs="Calibri"/>
                <w:color w:val="000000"/>
                <w:sz w:val="21"/>
              </w:rPr>
              <w:t>-3,230</w:t>
            </w:r>
          </w:p>
        </w:tc>
      </w:tr>
      <w:tr w:rsidR="00DC1B99" w14:paraId="3FA9A1FA"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6E4A7B5" w14:textId="77777777" w:rsidR="00DC1B99" w:rsidRDefault="00DC1B99" w:rsidP="001B288A">
            <w:pPr>
              <w:keepNext/>
              <w:spacing w:before="48" w:after="30"/>
            </w:pPr>
            <w:r>
              <w:rPr>
                <w:rFonts w:ascii="Calibri" w:eastAsia="Calibri" w:hAnsi="Calibri" w:cs="Calibri"/>
                <w:color w:val="000000"/>
                <w:sz w:val="21"/>
              </w:rPr>
              <w:t>Net (payments)/proceeds for financing activities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4D029D8D"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862F90B" w14:textId="77777777" w:rsidR="00DC1B99" w:rsidRDefault="00DC1B99" w:rsidP="001B288A">
            <w:pPr>
              <w:keepNext/>
              <w:spacing w:before="48" w:after="30"/>
              <w:jc w:val="right"/>
            </w:pPr>
            <w:r>
              <w:rPr>
                <w:rFonts w:ascii="Calibri" w:eastAsia="Calibri" w:hAnsi="Calibri" w:cs="Calibri"/>
                <w:color w:val="000000"/>
                <w:sz w:val="21"/>
              </w:rPr>
              <w:t>-572</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7F91E80"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B13BF95" w14:textId="77777777" w:rsidR="00DC1B99" w:rsidRDefault="00DC1B99" w:rsidP="001B288A">
            <w:pPr>
              <w:keepNext/>
              <w:spacing w:before="48" w:after="30"/>
              <w:jc w:val="right"/>
            </w:pPr>
            <w:r>
              <w:rPr>
                <w:rFonts w:ascii="Calibri" w:eastAsia="Calibri" w:hAnsi="Calibri" w:cs="Calibri"/>
                <w:color w:val="000000"/>
                <w:sz w:val="21"/>
              </w:rPr>
              <w:t>1,181</w:t>
            </w:r>
          </w:p>
        </w:tc>
      </w:tr>
      <w:tr w:rsidR="00DC1B99" w14:paraId="4E369957"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9B7CE8E" w14:textId="77777777" w:rsidR="00DC1B99" w:rsidRDefault="00DC1B99" w:rsidP="001B288A">
            <w:pPr>
              <w:keepNext/>
              <w:spacing w:before="48" w:after="30"/>
            </w:pPr>
            <w:r>
              <w:rPr>
                <w:rFonts w:ascii="Calibri" w:eastAsia="Calibri" w:hAnsi="Calibri" w:cs="Calibri"/>
                <w:color w:val="000000"/>
                <w:sz w:val="21"/>
              </w:rPr>
              <w:t>Interest and other related charges paid</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4B7C1C84"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35EC240" w14:textId="77777777" w:rsidR="00DC1B99" w:rsidRDefault="00DC1B99" w:rsidP="001B288A">
            <w:pPr>
              <w:keepNext/>
              <w:spacing w:before="48" w:after="30"/>
              <w:jc w:val="right"/>
            </w:pPr>
            <w:r>
              <w:rPr>
                <w:rFonts w:ascii="Calibri" w:eastAsia="Calibri" w:hAnsi="Calibri" w:cs="Calibri"/>
                <w:color w:val="000000"/>
                <w:sz w:val="21"/>
              </w:rPr>
              <w:t>-35,646</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154F0A56"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44C4D1A" w14:textId="77777777" w:rsidR="00DC1B99" w:rsidRDefault="00DC1B99" w:rsidP="001B288A">
            <w:pPr>
              <w:keepNext/>
              <w:spacing w:before="48" w:after="30"/>
              <w:jc w:val="right"/>
            </w:pPr>
            <w:r>
              <w:rPr>
                <w:rFonts w:ascii="Calibri" w:eastAsia="Calibri" w:hAnsi="Calibri" w:cs="Calibri"/>
                <w:color w:val="000000"/>
                <w:sz w:val="21"/>
              </w:rPr>
              <w:t>-36,153</w:t>
            </w:r>
          </w:p>
        </w:tc>
      </w:tr>
      <w:tr w:rsidR="00DC1B99" w14:paraId="1E595796" w14:textId="77777777" w:rsidTr="0002184F">
        <w:trPr>
          <w:cantSplit/>
          <w:trHeight w:hRule="exact" w:val="53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1FA56F9B" w14:textId="77777777" w:rsidR="00DC1B99" w:rsidRDefault="00DC1B99" w:rsidP="001B288A">
            <w:pPr>
              <w:keepNext/>
              <w:spacing w:before="48" w:after="30"/>
            </w:pPr>
            <w:r>
              <w:rPr>
                <w:rFonts w:ascii="Calibri" w:eastAsia="Calibri" w:hAnsi="Calibri" w:cs="Calibri"/>
                <w:color w:val="000000"/>
                <w:sz w:val="21"/>
              </w:rPr>
              <w:t>Net proceeds from drawn downs/(repayments) of credit facilities and derivatives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28B74E59"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1B457949" w14:textId="77777777" w:rsidR="00DC1B99" w:rsidRDefault="00DC1B99" w:rsidP="001B288A">
            <w:pPr>
              <w:keepNext/>
              <w:spacing w:before="48" w:after="30"/>
              <w:jc w:val="right"/>
            </w:pPr>
            <w:r>
              <w:rPr>
                <w:rFonts w:ascii="Calibri" w:eastAsia="Calibri" w:hAnsi="Calibri" w:cs="Calibri"/>
                <w:color w:val="000000"/>
                <w:sz w:val="21"/>
              </w:rPr>
              <w:t>119,519</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534AADE6"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2FE3C39" w14:textId="77777777" w:rsidR="00DC1B99" w:rsidRDefault="00DC1B99" w:rsidP="001B288A">
            <w:pPr>
              <w:keepNext/>
              <w:spacing w:before="48" w:after="30"/>
              <w:jc w:val="right"/>
            </w:pPr>
            <w:r>
              <w:rPr>
                <w:rFonts w:ascii="Calibri" w:eastAsia="Calibri" w:hAnsi="Calibri" w:cs="Calibri"/>
                <w:color w:val="000000"/>
                <w:sz w:val="21"/>
              </w:rPr>
              <w:t>-121,148</w:t>
            </w:r>
          </w:p>
        </w:tc>
      </w:tr>
      <w:tr w:rsidR="00DC1B99" w14:paraId="5FF19663"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6481D927" w14:textId="2FECCF1E" w:rsidR="00DC1B99" w:rsidRDefault="00DC1B99" w:rsidP="001B288A">
            <w:pPr>
              <w:keepNext/>
              <w:spacing w:before="48" w:after="30"/>
            </w:pPr>
            <w:r>
              <w:rPr>
                <w:rFonts w:ascii="Calibri" w:eastAsia="Calibri" w:hAnsi="Calibri" w:cs="Calibri"/>
                <w:b/>
                <w:color w:val="000000"/>
                <w:sz w:val="21"/>
              </w:rPr>
              <w:t>Net cash flows from</w:t>
            </w:r>
            <w:proofErr w:type="gramStart"/>
            <w:r w:rsidR="003929D3">
              <w:rPr>
                <w:rFonts w:ascii="Calibri" w:eastAsia="Calibri" w:hAnsi="Calibri" w:cs="Calibri"/>
                <w:b/>
                <w:color w:val="000000"/>
                <w:sz w:val="21"/>
              </w:rPr>
              <w:t>/(</w:t>
            </w:r>
            <w:proofErr w:type="gramEnd"/>
            <w:r w:rsidR="003929D3">
              <w:rPr>
                <w:rFonts w:ascii="Calibri" w:eastAsia="Calibri" w:hAnsi="Calibri" w:cs="Calibri"/>
                <w:b/>
                <w:color w:val="000000"/>
                <w:sz w:val="21"/>
              </w:rPr>
              <w:t>used</w:t>
            </w:r>
            <w:r>
              <w:rPr>
                <w:rFonts w:ascii="Calibri" w:eastAsia="Calibri" w:hAnsi="Calibri" w:cs="Calibri"/>
                <w:b/>
                <w:color w:val="000000"/>
                <w:sz w:val="21"/>
              </w:rPr>
              <w:t xml:space="preserve"> in) financing activities (c )</w:t>
            </w: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647487D4" w14:textId="77777777" w:rsidR="00DC1B99" w:rsidRDefault="00DC1B99" w:rsidP="001B288A">
            <w:pPr>
              <w:keepNext/>
              <w:spacing w:before="48" w:after="30"/>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658BC7F9" w14:textId="77777777" w:rsidR="00DC1B99" w:rsidRDefault="00DC1B99" w:rsidP="001B288A">
            <w:pPr>
              <w:keepNext/>
              <w:spacing w:before="48" w:after="30"/>
              <w:jc w:val="right"/>
            </w:pPr>
            <w:r>
              <w:rPr>
                <w:rFonts w:ascii="Calibri" w:eastAsia="Calibri" w:hAnsi="Calibri" w:cs="Calibri"/>
                <w:b/>
                <w:color w:val="000000"/>
                <w:sz w:val="21"/>
              </w:rPr>
              <w:t>20,869</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3E83943E"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8DAE0DE" w14:textId="77777777" w:rsidR="00DC1B99" w:rsidRDefault="00DC1B99" w:rsidP="001B288A">
            <w:pPr>
              <w:keepNext/>
              <w:spacing w:before="48" w:after="30"/>
              <w:jc w:val="right"/>
            </w:pPr>
            <w:r>
              <w:rPr>
                <w:rFonts w:ascii="Calibri" w:eastAsia="Calibri" w:hAnsi="Calibri" w:cs="Calibri"/>
                <w:b/>
                <w:color w:val="000000"/>
                <w:sz w:val="21"/>
              </w:rPr>
              <w:t>-232,916</w:t>
            </w:r>
          </w:p>
        </w:tc>
      </w:tr>
      <w:tr w:rsidR="00DC1B99" w14:paraId="72FA63B9"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522349D4" w14:textId="77777777" w:rsidR="00DC1B99" w:rsidRDefault="00DC1B99" w:rsidP="001B288A">
            <w:pPr>
              <w:keepNext/>
              <w:spacing w:before="48" w:after="30"/>
            </w:pPr>
          </w:p>
        </w:tc>
        <w:tc>
          <w:tcPr>
            <w:tcW w:w="188" w:type="dxa"/>
            <w:tcBorders>
              <w:top w:val="nil"/>
              <w:left w:val="nil"/>
              <w:bottom w:val="nil"/>
              <w:right w:val="nil"/>
            </w:tcBorders>
            <w:shd w:val="clear" w:color="auto" w:fill="FFFFFF"/>
            <w:tcMar>
              <w:top w:w="0" w:type="dxa"/>
              <w:left w:w="53" w:type="dxa"/>
              <w:bottom w:w="0" w:type="dxa"/>
              <w:right w:w="53" w:type="dxa"/>
            </w:tcMar>
            <w:vAlign w:val="bottom"/>
          </w:tcPr>
          <w:p w14:paraId="2ED41924" w14:textId="77777777" w:rsidR="00DC1B99" w:rsidRDefault="00DC1B99" w:rsidP="001B288A">
            <w:pPr>
              <w:keepNext/>
              <w:spacing w:before="48" w:after="30"/>
              <w:jc w:val="center"/>
            </w:pPr>
          </w:p>
        </w:tc>
        <w:tc>
          <w:tcPr>
            <w:tcW w:w="1636"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9D54CBA"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6ED3C76"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763539E1" w14:textId="77777777" w:rsidR="00DC1B99" w:rsidRDefault="00DC1B99" w:rsidP="001B288A">
            <w:pPr>
              <w:keepNext/>
              <w:spacing w:before="48" w:after="30"/>
              <w:jc w:val="right"/>
            </w:pPr>
          </w:p>
        </w:tc>
      </w:tr>
      <w:tr w:rsidR="00DC1B99" w14:paraId="4435D3EF"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0AD09B22" w14:textId="77777777" w:rsidR="00DC1B99" w:rsidRDefault="00DC1B99" w:rsidP="001B288A">
            <w:pPr>
              <w:keepNext/>
              <w:spacing w:before="48" w:after="30"/>
            </w:pPr>
            <w:r>
              <w:rPr>
                <w:rFonts w:ascii="Calibri" w:eastAsia="Calibri" w:hAnsi="Calibri" w:cs="Calibri"/>
                <w:b/>
                <w:color w:val="000000"/>
                <w:sz w:val="21"/>
              </w:rPr>
              <w:t>Net increase/(decrease) in cash and cash equivalents (a)+(b)+(c)</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7FDC229E"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3B28FB3D" w14:textId="77777777" w:rsidR="00DC1B99" w:rsidRDefault="00DC1B99" w:rsidP="001B288A">
            <w:pPr>
              <w:keepNext/>
              <w:spacing w:before="48" w:after="30"/>
              <w:jc w:val="right"/>
            </w:pPr>
            <w:r>
              <w:rPr>
                <w:rFonts w:ascii="Calibri" w:eastAsia="Calibri" w:hAnsi="Calibri" w:cs="Calibri"/>
                <w:b/>
                <w:color w:val="000000"/>
                <w:sz w:val="21"/>
              </w:rPr>
              <w:t>30,767</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E3B261B"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2E31B692" w14:textId="77777777" w:rsidR="00DC1B99" w:rsidRDefault="00DC1B99" w:rsidP="001B288A">
            <w:pPr>
              <w:keepNext/>
              <w:spacing w:before="48" w:after="30"/>
              <w:jc w:val="right"/>
            </w:pPr>
            <w:r>
              <w:rPr>
                <w:rFonts w:ascii="Calibri" w:eastAsia="Calibri" w:hAnsi="Calibri" w:cs="Calibri"/>
                <w:b/>
                <w:color w:val="000000"/>
                <w:sz w:val="21"/>
              </w:rPr>
              <w:t>-129,915</w:t>
            </w:r>
          </w:p>
        </w:tc>
      </w:tr>
      <w:tr w:rsidR="00DC1B99" w14:paraId="2F644FCF"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bottom"/>
          </w:tcPr>
          <w:p w14:paraId="601049F2" w14:textId="77777777" w:rsidR="00DC1B99" w:rsidRDefault="00DC1B99" w:rsidP="001B288A">
            <w:pPr>
              <w:keepNext/>
            </w:pPr>
          </w:p>
        </w:tc>
        <w:tc>
          <w:tcPr>
            <w:tcW w:w="188" w:type="dxa"/>
            <w:tcBorders>
              <w:top w:val="nil"/>
              <w:left w:val="nil"/>
              <w:bottom w:val="nil"/>
              <w:right w:val="nil"/>
            </w:tcBorders>
            <w:shd w:val="clear" w:color="auto" w:fill="FFFFFF"/>
            <w:tcMar>
              <w:top w:w="0" w:type="dxa"/>
              <w:left w:w="0" w:type="dxa"/>
              <w:bottom w:w="0" w:type="dxa"/>
              <w:right w:w="0" w:type="dxa"/>
            </w:tcMar>
            <w:vAlign w:val="bottom"/>
          </w:tcPr>
          <w:p w14:paraId="6BF1A5BF" w14:textId="77777777" w:rsidR="00DC1B99" w:rsidRDefault="00DC1B99" w:rsidP="001B288A">
            <w:pPr>
              <w:keepNext/>
            </w:pPr>
          </w:p>
        </w:tc>
        <w:tc>
          <w:tcPr>
            <w:tcW w:w="1636"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3070929D" w14:textId="77777777" w:rsidR="00DC1B99" w:rsidRDefault="00DC1B99" w:rsidP="001B288A">
            <w:pPr>
              <w:keepNext/>
              <w:spacing w:before="48" w:after="30"/>
              <w:jc w:val="right"/>
            </w:pPr>
          </w:p>
        </w:tc>
        <w:tc>
          <w:tcPr>
            <w:tcW w:w="141" w:type="dxa"/>
            <w:tcBorders>
              <w:top w:val="nil"/>
              <w:left w:val="nil"/>
              <w:bottom w:val="nil"/>
              <w:right w:val="nil"/>
            </w:tcBorders>
            <w:shd w:val="clear" w:color="auto" w:fill="FFFFFF"/>
            <w:tcMar>
              <w:top w:w="0" w:type="dxa"/>
              <w:left w:w="0" w:type="dxa"/>
              <w:bottom w:w="0" w:type="dxa"/>
              <w:right w:w="0" w:type="dxa"/>
            </w:tcMar>
            <w:vAlign w:val="bottom"/>
          </w:tcPr>
          <w:p w14:paraId="69B55F2F" w14:textId="77777777" w:rsidR="00DC1B99" w:rsidRDefault="00DC1B99" w:rsidP="001B288A">
            <w:pPr>
              <w:keepNex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0" w:type="dxa"/>
            </w:tcMar>
            <w:vAlign w:val="bottom"/>
          </w:tcPr>
          <w:p w14:paraId="6E117938" w14:textId="77777777" w:rsidR="00DC1B99" w:rsidRDefault="00DC1B99" w:rsidP="001B288A">
            <w:pPr>
              <w:keepNext/>
            </w:pPr>
          </w:p>
        </w:tc>
      </w:tr>
      <w:tr w:rsidR="00DC1B99" w14:paraId="32FA35D2"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3656726B" w14:textId="77777777" w:rsidR="00DC1B99" w:rsidRDefault="00DC1B99" w:rsidP="001B288A">
            <w:pPr>
              <w:keepNext/>
              <w:spacing w:before="48" w:after="30"/>
            </w:pPr>
            <w:r>
              <w:rPr>
                <w:rFonts w:ascii="Calibri" w:eastAsia="Calibri" w:hAnsi="Calibri" w:cs="Calibri"/>
                <w:color w:val="000000"/>
                <w:sz w:val="21"/>
              </w:rPr>
              <w:t>Cash and cash equivalents at beginning of the year</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2D7051E2"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49020ADE" w14:textId="77777777" w:rsidR="00DC1B99" w:rsidRDefault="00DC1B99" w:rsidP="001B288A">
            <w:pPr>
              <w:keepNext/>
              <w:spacing w:before="48" w:after="30"/>
              <w:jc w:val="right"/>
            </w:pPr>
            <w:r>
              <w:rPr>
                <w:rFonts w:ascii="Calibri" w:eastAsia="Calibri" w:hAnsi="Calibri" w:cs="Calibri"/>
                <w:color w:val="000000"/>
                <w:sz w:val="21"/>
              </w:rPr>
              <w:t>79,882</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6E67B03A"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1AE08926" w14:textId="77777777" w:rsidR="00DC1B99" w:rsidRDefault="00DC1B99" w:rsidP="001B288A">
            <w:pPr>
              <w:keepNext/>
              <w:spacing w:before="48" w:after="30"/>
              <w:jc w:val="right"/>
            </w:pPr>
            <w:r>
              <w:rPr>
                <w:rFonts w:ascii="Calibri" w:eastAsia="Calibri" w:hAnsi="Calibri" w:cs="Calibri"/>
                <w:color w:val="000000"/>
                <w:sz w:val="21"/>
              </w:rPr>
              <w:t>206,438</w:t>
            </w:r>
          </w:p>
        </w:tc>
      </w:tr>
      <w:tr w:rsidR="00DC1B99" w14:paraId="4A8220EF" w14:textId="77777777" w:rsidTr="0002184F">
        <w:trPr>
          <w:cantSplit/>
          <w:trHeight w:hRule="exact" w:val="307"/>
        </w:trPr>
        <w:tc>
          <w:tcPr>
            <w:tcW w:w="599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vAlign w:val="bottom"/>
          </w:tcPr>
          <w:p w14:paraId="43EF89E9" w14:textId="77777777" w:rsidR="00DC1B99" w:rsidRDefault="00DC1B99" w:rsidP="001B288A">
            <w:pPr>
              <w:keepNext/>
              <w:spacing w:before="48" w:after="30"/>
            </w:pPr>
            <w:r>
              <w:rPr>
                <w:rFonts w:ascii="Calibri" w:eastAsia="Calibri" w:hAnsi="Calibri" w:cs="Calibri"/>
                <w:color w:val="000000"/>
                <w:sz w:val="21"/>
              </w:rPr>
              <w:t>Effects of exchange rate changes</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578A9A91" w14:textId="77777777" w:rsidR="00DC1B99" w:rsidRDefault="00DC1B99" w:rsidP="001B288A">
            <w:pPr>
              <w:keepNext/>
              <w:spacing w:before="48" w:after="30"/>
              <w:jc w:val="right"/>
            </w:pPr>
          </w:p>
        </w:tc>
        <w:tc>
          <w:tcPr>
            <w:tcW w:w="1636" w:type="dxa"/>
            <w:tcBorders>
              <w:top w:val="single" w:sz="2" w:space="0" w:color="000000"/>
              <w:left w:val="nil"/>
              <w:bottom w:val="single" w:sz="2" w:space="0" w:color="000000"/>
              <w:right w:val="nil"/>
            </w:tcBorders>
            <w:shd w:val="clear" w:color="auto" w:fill="DDDDDD"/>
            <w:tcMar>
              <w:top w:w="0" w:type="dxa"/>
              <w:left w:w="0" w:type="dxa"/>
              <w:bottom w:w="0" w:type="dxa"/>
              <w:right w:w="53" w:type="dxa"/>
            </w:tcMar>
            <w:vAlign w:val="bottom"/>
          </w:tcPr>
          <w:p w14:paraId="7B588E3B" w14:textId="77777777" w:rsidR="00DC1B99" w:rsidRDefault="00DC1B99" w:rsidP="001B288A">
            <w:pPr>
              <w:keepNext/>
              <w:spacing w:before="48" w:after="30"/>
              <w:jc w:val="right"/>
            </w:pPr>
            <w:r>
              <w:rPr>
                <w:rFonts w:ascii="Calibri" w:eastAsia="Calibri" w:hAnsi="Calibri" w:cs="Calibri"/>
                <w:color w:val="000000"/>
                <w:sz w:val="21"/>
              </w:rPr>
              <w:t>-4,946</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0F555A4F" w14:textId="77777777" w:rsidR="00DC1B99" w:rsidRDefault="00DC1B99" w:rsidP="001B288A">
            <w:pPr>
              <w:keepNext/>
              <w:spacing w:before="48" w:after="30"/>
              <w:jc w:val="right"/>
            </w:pPr>
          </w:p>
        </w:tc>
        <w:tc>
          <w:tcPr>
            <w:tcW w:w="1638" w:type="dxa"/>
            <w:tcBorders>
              <w:top w:val="single" w:sz="2" w:space="0" w:color="000000"/>
              <w:left w:val="nil"/>
              <w:bottom w:val="single" w:sz="2" w:space="0" w:color="000000"/>
              <w:right w:val="nil"/>
            </w:tcBorders>
            <w:shd w:val="clear" w:color="auto" w:fill="FFFFFF"/>
            <w:tcMar>
              <w:top w:w="0" w:type="dxa"/>
              <w:left w:w="0" w:type="dxa"/>
              <w:bottom w:w="0" w:type="dxa"/>
              <w:right w:w="53" w:type="dxa"/>
            </w:tcMar>
            <w:vAlign w:val="bottom"/>
          </w:tcPr>
          <w:p w14:paraId="58763954" w14:textId="77777777" w:rsidR="00DC1B99" w:rsidRDefault="00DC1B99" w:rsidP="001B288A">
            <w:pPr>
              <w:keepNext/>
              <w:spacing w:before="48" w:after="30"/>
              <w:jc w:val="right"/>
            </w:pPr>
            <w:r>
              <w:rPr>
                <w:rFonts w:ascii="Calibri" w:eastAsia="Calibri" w:hAnsi="Calibri" w:cs="Calibri"/>
                <w:color w:val="000000"/>
                <w:sz w:val="21"/>
              </w:rPr>
              <w:t>3,359</w:t>
            </w:r>
          </w:p>
        </w:tc>
      </w:tr>
      <w:tr w:rsidR="00DC1B99" w14:paraId="45F9F56D" w14:textId="77777777" w:rsidTr="0002184F">
        <w:trPr>
          <w:cantSplit/>
          <w:trHeight w:hRule="exact" w:val="307"/>
        </w:trPr>
        <w:tc>
          <w:tcPr>
            <w:tcW w:w="5994" w:type="dxa"/>
            <w:tcBorders>
              <w:top w:val="single" w:sz="2" w:space="0" w:color="000000"/>
              <w:left w:val="nil"/>
              <w:bottom w:val="single" w:sz="8" w:space="0" w:color="4F81BD"/>
              <w:right w:val="nil"/>
            </w:tcBorders>
            <w:shd w:val="clear" w:color="auto" w:fill="FFFFFF"/>
            <w:tcMar>
              <w:top w:w="0" w:type="dxa"/>
              <w:left w:w="53" w:type="dxa"/>
              <w:bottom w:w="0" w:type="dxa"/>
              <w:right w:w="53" w:type="dxa"/>
            </w:tcMar>
            <w:vAlign w:val="bottom"/>
          </w:tcPr>
          <w:p w14:paraId="7D364D5B" w14:textId="77777777" w:rsidR="00DC1B99" w:rsidRDefault="00DC1B99" w:rsidP="001B288A">
            <w:pPr>
              <w:spacing w:before="48" w:after="30"/>
            </w:pPr>
            <w:r>
              <w:rPr>
                <w:rFonts w:ascii="Calibri" w:eastAsia="Calibri" w:hAnsi="Calibri" w:cs="Calibri"/>
                <w:b/>
                <w:color w:val="000000"/>
                <w:sz w:val="21"/>
              </w:rPr>
              <w:t>Cash and cash equivalents at end of the year</w:t>
            </w:r>
          </w:p>
        </w:tc>
        <w:tc>
          <w:tcPr>
            <w:tcW w:w="188" w:type="dxa"/>
            <w:tcBorders>
              <w:top w:val="nil"/>
              <w:left w:val="nil"/>
              <w:bottom w:val="nil"/>
              <w:right w:val="nil"/>
            </w:tcBorders>
            <w:shd w:val="clear" w:color="auto" w:fill="FFFFFF"/>
            <w:tcMar>
              <w:top w:w="0" w:type="dxa"/>
              <w:left w:w="0" w:type="dxa"/>
              <w:bottom w:w="0" w:type="dxa"/>
              <w:right w:w="53" w:type="dxa"/>
            </w:tcMar>
            <w:vAlign w:val="bottom"/>
          </w:tcPr>
          <w:p w14:paraId="2742A8C7" w14:textId="77777777" w:rsidR="00DC1B99" w:rsidRDefault="00DC1B99" w:rsidP="001B288A">
            <w:pPr>
              <w:spacing w:before="48" w:after="30"/>
              <w:jc w:val="right"/>
            </w:pPr>
          </w:p>
        </w:tc>
        <w:tc>
          <w:tcPr>
            <w:tcW w:w="1636" w:type="dxa"/>
            <w:tcBorders>
              <w:top w:val="single" w:sz="2" w:space="0" w:color="000000"/>
              <w:left w:val="nil"/>
              <w:bottom w:val="single" w:sz="8" w:space="0" w:color="4F81BD"/>
              <w:right w:val="nil"/>
            </w:tcBorders>
            <w:shd w:val="clear" w:color="auto" w:fill="DDDDDD"/>
            <w:tcMar>
              <w:top w:w="0" w:type="dxa"/>
              <w:left w:w="0" w:type="dxa"/>
              <w:bottom w:w="0" w:type="dxa"/>
              <w:right w:w="53" w:type="dxa"/>
            </w:tcMar>
            <w:vAlign w:val="bottom"/>
          </w:tcPr>
          <w:p w14:paraId="43519290" w14:textId="77777777" w:rsidR="00DC1B99" w:rsidRDefault="00DC1B99" w:rsidP="001B288A">
            <w:pPr>
              <w:spacing w:before="48" w:after="30"/>
              <w:jc w:val="right"/>
            </w:pPr>
            <w:r>
              <w:rPr>
                <w:rFonts w:ascii="Calibri" w:eastAsia="Calibri" w:hAnsi="Calibri" w:cs="Calibri"/>
                <w:b/>
                <w:color w:val="000000"/>
                <w:sz w:val="21"/>
              </w:rPr>
              <w:t>105,703</w:t>
            </w:r>
          </w:p>
        </w:tc>
        <w:tc>
          <w:tcPr>
            <w:tcW w:w="141" w:type="dxa"/>
            <w:tcBorders>
              <w:top w:val="nil"/>
              <w:left w:val="nil"/>
              <w:bottom w:val="nil"/>
              <w:right w:val="nil"/>
            </w:tcBorders>
            <w:shd w:val="clear" w:color="auto" w:fill="FFFFFF"/>
            <w:tcMar>
              <w:top w:w="0" w:type="dxa"/>
              <w:left w:w="0" w:type="dxa"/>
              <w:bottom w:w="0" w:type="dxa"/>
              <w:right w:w="53" w:type="dxa"/>
            </w:tcMar>
            <w:vAlign w:val="bottom"/>
          </w:tcPr>
          <w:p w14:paraId="2B7087F7" w14:textId="77777777" w:rsidR="00DC1B99" w:rsidRDefault="00DC1B99" w:rsidP="001B288A">
            <w:pPr>
              <w:spacing w:before="48" w:after="30"/>
              <w:jc w:val="right"/>
            </w:pPr>
          </w:p>
        </w:tc>
        <w:tc>
          <w:tcPr>
            <w:tcW w:w="1638" w:type="dxa"/>
            <w:tcBorders>
              <w:top w:val="single" w:sz="2" w:space="0" w:color="000000"/>
              <w:left w:val="nil"/>
              <w:bottom w:val="single" w:sz="8" w:space="0" w:color="4F81BD"/>
              <w:right w:val="nil"/>
            </w:tcBorders>
            <w:shd w:val="clear" w:color="auto" w:fill="FFFFFF"/>
            <w:tcMar>
              <w:top w:w="0" w:type="dxa"/>
              <w:left w:w="0" w:type="dxa"/>
              <w:bottom w:w="0" w:type="dxa"/>
              <w:right w:w="53" w:type="dxa"/>
            </w:tcMar>
            <w:vAlign w:val="bottom"/>
          </w:tcPr>
          <w:p w14:paraId="171CC68E" w14:textId="77777777" w:rsidR="00DC1B99" w:rsidRDefault="00DC1B99" w:rsidP="001B288A">
            <w:pPr>
              <w:spacing w:before="48" w:after="30"/>
              <w:jc w:val="right"/>
            </w:pPr>
            <w:r>
              <w:rPr>
                <w:rFonts w:ascii="Calibri" w:eastAsia="Calibri" w:hAnsi="Calibri" w:cs="Calibri"/>
                <w:b/>
                <w:color w:val="000000"/>
                <w:sz w:val="21"/>
              </w:rPr>
              <w:t>79,882</w:t>
            </w:r>
          </w:p>
        </w:tc>
      </w:tr>
    </w:tbl>
    <w:p w14:paraId="36C86D32" w14:textId="77777777" w:rsidR="00BB5ED5" w:rsidRDefault="00BB5ED5" w:rsidP="004A7016">
      <w:pPr>
        <w:spacing w:after="200" w:line="276" w:lineRule="auto"/>
        <w:rPr>
          <w:rFonts w:ascii="Calibri" w:eastAsia="Arial" w:hAnsi="Calibri" w:cs="Calibri"/>
        </w:rPr>
      </w:pPr>
    </w:p>
    <w:p w14:paraId="55C9BCD8" w14:textId="77777777" w:rsidR="00DC1B99" w:rsidRDefault="00DC1B99" w:rsidP="004A7016">
      <w:pPr>
        <w:spacing w:after="200" w:line="276" w:lineRule="auto"/>
        <w:rPr>
          <w:rFonts w:ascii="Calibri" w:eastAsia="Arial" w:hAnsi="Calibri" w:cs="Calibri"/>
        </w:rPr>
      </w:pPr>
    </w:p>
    <w:p w14:paraId="39772C16" w14:textId="77777777" w:rsidR="004E3D7E" w:rsidRPr="00FD7C58" w:rsidRDefault="004E3D7E" w:rsidP="004E3D7E">
      <w:pPr>
        <w:pStyle w:val="C"/>
        <w:spacing w:line="240" w:lineRule="auto"/>
        <w:ind w:right="-710"/>
        <w:jc w:val="both"/>
        <w:rPr>
          <w:rFonts w:eastAsia="Calibri" w:cs="Calibri"/>
          <w:bCs w:val="0"/>
          <w:lang w:val="en-US"/>
        </w:rPr>
      </w:pPr>
      <w:r w:rsidRPr="00FD7C58">
        <w:rPr>
          <w:rFonts w:eastAsia="Calibri" w:cs="Calibri"/>
          <w:bCs w:val="0"/>
          <w:noProof/>
          <w:lang w:val="en-US"/>
        </w:rPr>
        <mc:AlternateContent>
          <mc:Choice Requires="wps">
            <w:drawing>
              <wp:anchor distT="0" distB="0" distL="114300" distR="114300" simplePos="0" relativeHeight="251658260" behindDoc="0" locked="0" layoutInCell="1" allowOverlap="1" wp14:anchorId="3B439DCB" wp14:editId="2C0949CB">
                <wp:simplePos x="0" y="0"/>
                <wp:positionH relativeFrom="margin">
                  <wp:align>right</wp:align>
                </wp:positionH>
                <wp:positionV relativeFrom="paragraph">
                  <wp:posOffset>241813</wp:posOffset>
                </wp:positionV>
                <wp:extent cx="611251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112510"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CCE32" id="Straight Connector 28" o:spid="_x0000_s1026" style="position:absolute;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1pt,19.05pt" to="911.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" strokecolor="#00183d" strokeweight=".25pt">
                <w10:wrap anchorx="margin"/>
              </v:line>
            </w:pict>
          </mc:Fallback>
        </mc:AlternateContent>
      </w:r>
      <w:r w:rsidRPr="00FD7C58">
        <w:rPr>
          <w:rFonts w:eastAsia="Calibri" w:cs="Calibri"/>
          <w:bCs w:val="0"/>
          <w:lang w:val="en-US"/>
        </w:rPr>
        <w:t>ESG Performance Indicators</w:t>
      </w:r>
    </w:p>
    <w:tbl>
      <w:tblPr>
        <w:tblW w:w="11036" w:type="dxa"/>
        <w:tblLayout w:type="fixed"/>
        <w:tblLook w:val="04A0" w:firstRow="1" w:lastRow="0" w:firstColumn="1" w:lastColumn="0" w:noHBand="0" w:noVBand="1"/>
      </w:tblPr>
      <w:tblGrid>
        <w:gridCol w:w="3828"/>
        <w:gridCol w:w="2667"/>
        <w:gridCol w:w="257"/>
        <w:gridCol w:w="1382"/>
        <w:gridCol w:w="238"/>
        <w:gridCol w:w="1280"/>
        <w:gridCol w:w="1384"/>
      </w:tblGrid>
      <w:tr w:rsidR="004E3D7E" w:rsidRPr="0087712A" w14:paraId="5A1969C1" w14:textId="77777777">
        <w:trPr>
          <w:gridAfter w:val="1"/>
          <w:wAfter w:w="1384" w:type="dxa"/>
          <w:trHeight w:val="93"/>
        </w:trPr>
        <w:tc>
          <w:tcPr>
            <w:tcW w:w="3828" w:type="dxa"/>
            <w:tcBorders>
              <w:left w:val="nil"/>
              <w:bottom w:val="nil"/>
              <w:right w:val="nil"/>
            </w:tcBorders>
            <w:shd w:val="clear" w:color="auto" w:fill="auto"/>
            <w:noWrap/>
            <w:vAlign w:val="bottom"/>
          </w:tcPr>
          <w:p w14:paraId="2BE323A2" w14:textId="77777777" w:rsidR="004E3D7E" w:rsidRPr="0087712A" w:rsidRDefault="004E3D7E">
            <w:pPr>
              <w:rPr>
                <w:rFonts w:ascii="Calibri" w:hAnsi="Calibri" w:cs="Calibri"/>
                <w:sz w:val="18"/>
                <w:szCs w:val="18"/>
                <w:lang w:eastAsia="el-GR"/>
              </w:rPr>
            </w:pPr>
          </w:p>
        </w:tc>
        <w:tc>
          <w:tcPr>
            <w:tcW w:w="2667" w:type="dxa"/>
            <w:tcBorders>
              <w:left w:val="nil"/>
              <w:bottom w:val="nil"/>
              <w:right w:val="nil"/>
            </w:tcBorders>
            <w:shd w:val="clear" w:color="auto" w:fill="auto"/>
            <w:noWrap/>
            <w:vAlign w:val="center"/>
          </w:tcPr>
          <w:p w14:paraId="43DAB6F2" w14:textId="77777777" w:rsidR="004E3D7E" w:rsidRPr="0087712A" w:rsidRDefault="004E3D7E">
            <w:pPr>
              <w:jc w:val="right"/>
              <w:rPr>
                <w:rFonts w:ascii="Calibri" w:hAnsi="Calibri" w:cs="Calibri"/>
                <w:sz w:val="22"/>
                <w:szCs w:val="22"/>
                <w:lang w:eastAsia="el-GR"/>
              </w:rPr>
            </w:pPr>
          </w:p>
        </w:tc>
        <w:tc>
          <w:tcPr>
            <w:tcW w:w="257" w:type="dxa"/>
            <w:vMerge w:val="restart"/>
            <w:tcBorders>
              <w:left w:val="nil"/>
              <w:right w:val="nil"/>
            </w:tcBorders>
            <w:shd w:val="clear" w:color="000000" w:fill="FFFFFF"/>
            <w:vAlign w:val="center"/>
          </w:tcPr>
          <w:p w14:paraId="38A94B7D" w14:textId="77777777" w:rsidR="004E3D7E" w:rsidRPr="0087712A" w:rsidRDefault="004E3D7E">
            <w:pPr>
              <w:jc w:val="right"/>
              <w:rPr>
                <w:rFonts w:ascii="Calibri" w:hAnsi="Calibri" w:cs="Calibri"/>
                <w:color w:val="000000"/>
                <w:sz w:val="22"/>
                <w:szCs w:val="22"/>
                <w:lang w:eastAsia="el-GR"/>
              </w:rPr>
            </w:pPr>
          </w:p>
        </w:tc>
        <w:tc>
          <w:tcPr>
            <w:tcW w:w="1382" w:type="dxa"/>
            <w:tcBorders>
              <w:left w:val="nil"/>
              <w:bottom w:val="single" w:sz="4" w:space="0" w:color="auto"/>
              <w:right w:val="nil"/>
            </w:tcBorders>
            <w:shd w:val="clear" w:color="000000" w:fill="F2F2F2"/>
            <w:noWrap/>
            <w:vAlign w:val="center"/>
          </w:tcPr>
          <w:p w14:paraId="51C1D1A0" w14:textId="77777777" w:rsidR="004E3D7E" w:rsidRPr="0087712A" w:rsidRDefault="004E3D7E">
            <w:pPr>
              <w:ind w:left="-392"/>
              <w:jc w:val="right"/>
              <w:rPr>
                <w:rFonts w:ascii="Calibri" w:hAnsi="Calibri" w:cs="Calibri"/>
                <w:b/>
                <w:bCs/>
                <w:color w:val="000000" w:themeColor="text1"/>
                <w:sz w:val="22"/>
                <w:szCs w:val="22"/>
                <w:lang w:val="en-GB" w:eastAsia="el-GR"/>
              </w:rPr>
            </w:pPr>
            <w:r w:rsidRPr="0087712A">
              <w:rPr>
                <w:rFonts w:ascii="Calibri" w:hAnsi="Calibri" w:cs="Calibri"/>
                <w:b/>
                <w:bCs/>
                <w:color w:val="000000" w:themeColor="text1"/>
                <w:sz w:val="22"/>
                <w:szCs w:val="22"/>
                <w:lang w:val="en-GB" w:eastAsia="el-GR"/>
              </w:rPr>
              <w:t>2022</w:t>
            </w:r>
          </w:p>
        </w:tc>
        <w:tc>
          <w:tcPr>
            <w:tcW w:w="238" w:type="dxa"/>
            <w:vMerge w:val="restart"/>
            <w:tcBorders>
              <w:left w:val="nil"/>
              <w:bottom w:val="single" w:sz="4" w:space="0" w:color="auto"/>
              <w:right w:val="nil"/>
            </w:tcBorders>
            <w:shd w:val="clear" w:color="000000" w:fill="FFFFFF"/>
          </w:tcPr>
          <w:p w14:paraId="1393D174" w14:textId="77777777" w:rsidR="004E3D7E" w:rsidRPr="0087712A" w:rsidRDefault="004E3D7E">
            <w:pPr>
              <w:jc w:val="center"/>
              <w:rPr>
                <w:rFonts w:ascii="Calibri" w:hAnsi="Calibri" w:cs="Calibri"/>
                <w:color w:val="000000" w:themeColor="text1"/>
                <w:sz w:val="22"/>
                <w:szCs w:val="22"/>
                <w:lang w:val="en-GB" w:eastAsia="el-GR"/>
              </w:rPr>
            </w:pPr>
          </w:p>
        </w:tc>
        <w:tc>
          <w:tcPr>
            <w:tcW w:w="1280" w:type="dxa"/>
            <w:tcBorders>
              <w:left w:val="nil"/>
              <w:bottom w:val="single" w:sz="4" w:space="0" w:color="auto"/>
            </w:tcBorders>
            <w:shd w:val="clear" w:color="000000" w:fill="FFFFFF"/>
            <w:noWrap/>
            <w:vAlign w:val="center"/>
          </w:tcPr>
          <w:p w14:paraId="28D6F8F4" w14:textId="77777777" w:rsidR="004E3D7E" w:rsidRPr="0087712A" w:rsidRDefault="004E3D7E">
            <w:pPr>
              <w:jc w:val="right"/>
              <w:rPr>
                <w:rFonts w:ascii="Calibri" w:hAnsi="Calibri" w:cs="Calibri"/>
                <w:b/>
                <w:bCs/>
                <w:color w:val="000000" w:themeColor="text1"/>
                <w:sz w:val="22"/>
                <w:szCs w:val="22"/>
                <w:lang w:val="en-GB" w:eastAsia="el-GR"/>
              </w:rPr>
            </w:pPr>
            <w:r w:rsidRPr="0087712A">
              <w:rPr>
                <w:rFonts w:ascii="Calibri" w:hAnsi="Calibri" w:cs="Calibri"/>
                <w:b/>
                <w:bCs/>
                <w:color w:val="000000" w:themeColor="text1"/>
                <w:sz w:val="22"/>
                <w:szCs w:val="22"/>
                <w:lang w:val="en-GB" w:eastAsia="el-GR"/>
              </w:rPr>
              <w:t>2021</w:t>
            </w:r>
          </w:p>
        </w:tc>
      </w:tr>
      <w:tr w:rsidR="004E3D7E" w:rsidRPr="0087712A" w14:paraId="5AEE7BA8" w14:textId="77777777">
        <w:trPr>
          <w:gridAfter w:val="1"/>
          <w:wAfter w:w="1384" w:type="dxa"/>
          <w:trHeight w:val="317"/>
        </w:trPr>
        <w:tc>
          <w:tcPr>
            <w:tcW w:w="6495" w:type="dxa"/>
            <w:gridSpan w:val="2"/>
            <w:tcBorders>
              <w:top w:val="nil"/>
              <w:left w:val="nil"/>
              <w:bottom w:val="single" w:sz="12" w:space="0" w:color="2683C6" w:themeColor="accent2"/>
              <w:right w:val="nil"/>
            </w:tcBorders>
            <w:shd w:val="clear" w:color="auto" w:fill="auto"/>
            <w:noWrap/>
            <w:vAlign w:val="center"/>
            <w:hideMark/>
          </w:tcPr>
          <w:p w14:paraId="1BFAE509" w14:textId="77777777" w:rsidR="004E3D7E" w:rsidRPr="0087712A" w:rsidRDefault="004E3D7E">
            <w:pPr>
              <w:rPr>
                <w:rFonts w:ascii="Calibri" w:hAnsi="Calibri" w:cs="Calibri"/>
                <w:b/>
                <w:bCs/>
                <w:color w:val="4F81BD"/>
                <w:sz w:val="22"/>
                <w:szCs w:val="22"/>
                <w:lang w:eastAsia="el-GR"/>
              </w:rPr>
            </w:pPr>
            <w:r w:rsidRPr="0087712A">
              <w:rPr>
                <w:rFonts w:ascii="Calibri" w:hAnsi="Calibri" w:cs="Calibri"/>
                <w:b/>
                <w:bCs/>
                <w:color w:val="4F81BD"/>
                <w:sz w:val="22"/>
                <w:szCs w:val="22"/>
                <w:lang w:eastAsia="el-GR"/>
              </w:rPr>
              <w:t xml:space="preserve">Decarbonization </w:t>
            </w:r>
          </w:p>
        </w:tc>
        <w:tc>
          <w:tcPr>
            <w:tcW w:w="257" w:type="dxa"/>
            <w:vMerge/>
            <w:tcBorders>
              <w:left w:val="nil"/>
              <w:bottom w:val="single" w:sz="12" w:space="0" w:color="2683C6" w:themeColor="accent2"/>
              <w:right w:val="nil"/>
            </w:tcBorders>
            <w:vAlign w:val="center"/>
            <w:hideMark/>
          </w:tcPr>
          <w:p w14:paraId="03314E89" w14:textId="77777777" w:rsidR="004E3D7E" w:rsidRPr="0087712A" w:rsidRDefault="004E3D7E">
            <w:pPr>
              <w:jc w:val="right"/>
              <w:rPr>
                <w:rFonts w:ascii="Calibri" w:hAnsi="Calibri" w:cs="Calibri"/>
                <w:color w:val="000000"/>
                <w:sz w:val="22"/>
                <w:szCs w:val="22"/>
                <w:lang w:eastAsia="el-GR"/>
              </w:rPr>
            </w:pPr>
          </w:p>
        </w:tc>
        <w:tc>
          <w:tcPr>
            <w:tcW w:w="1382" w:type="dxa"/>
            <w:tcBorders>
              <w:top w:val="single" w:sz="4" w:space="0" w:color="auto"/>
              <w:left w:val="nil"/>
              <w:bottom w:val="single" w:sz="12" w:space="0" w:color="2683C6" w:themeColor="accent2"/>
              <w:right w:val="nil"/>
            </w:tcBorders>
            <w:shd w:val="clear" w:color="000000" w:fill="FFFFFF"/>
            <w:noWrap/>
            <w:vAlign w:val="center"/>
            <w:hideMark/>
          </w:tcPr>
          <w:p w14:paraId="159E7D18" w14:textId="77777777" w:rsidR="004E3D7E" w:rsidRPr="0087712A" w:rsidRDefault="004E3D7E">
            <w:pPr>
              <w:jc w:val="both"/>
              <w:rPr>
                <w:rFonts w:ascii="Calibri" w:hAnsi="Calibri" w:cs="Calibri"/>
                <w:color w:val="00183D"/>
                <w:sz w:val="22"/>
                <w:szCs w:val="22"/>
                <w:lang w:eastAsia="el-GR"/>
              </w:rPr>
            </w:pPr>
            <w:r w:rsidRPr="0087712A">
              <w:rPr>
                <w:rFonts w:ascii="Calibri" w:hAnsi="Calibri" w:cs="Calibri"/>
                <w:color w:val="00183D"/>
                <w:sz w:val="22"/>
                <w:szCs w:val="22"/>
                <w:lang w:eastAsia="el-GR"/>
              </w:rPr>
              <w:t> </w:t>
            </w:r>
          </w:p>
        </w:tc>
        <w:tc>
          <w:tcPr>
            <w:tcW w:w="238" w:type="dxa"/>
            <w:vMerge/>
            <w:tcBorders>
              <w:top w:val="single" w:sz="4" w:space="0" w:color="auto"/>
              <w:left w:val="nil"/>
              <w:bottom w:val="single" w:sz="12" w:space="0" w:color="2683C6" w:themeColor="accent2"/>
              <w:right w:val="nil"/>
            </w:tcBorders>
            <w:vAlign w:val="center"/>
            <w:hideMark/>
          </w:tcPr>
          <w:p w14:paraId="7C31B259"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12" w:space="0" w:color="2683C6" w:themeColor="accent2"/>
              <w:right w:val="single" w:sz="8" w:space="0" w:color="FFFFFF"/>
            </w:tcBorders>
            <w:shd w:val="clear" w:color="auto" w:fill="auto"/>
            <w:noWrap/>
            <w:vAlign w:val="center"/>
            <w:hideMark/>
          </w:tcPr>
          <w:p w14:paraId="1993ECC2" w14:textId="77777777" w:rsidR="004E3D7E" w:rsidRPr="0087712A" w:rsidRDefault="004E3D7E">
            <w:pPr>
              <w:jc w:val="both"/>
              <w:rPr>
                <w:rFonts w:ascii="Calibri" w:hAnsi="Calibri" w:cs="Calibri"/>
                <w:color w:val="00183D"/>
                <w:sz w:val="22"/>
                <w:szCs w:val="22"/>
                <w:lang w:eastAsia="el-GR"/>
              </w:rPr>
            </w:pPr>
            <w:r w:rsidRPr="0087712A">
              <w:rPr>
                <w:rFonts w:ascii="Calibri" w:hAnsi="Calibri" w:cs="Calibri"/>
                <w:color w:val="00183D"/>
                <w:sz w:val="22"/>
                <w:szCs w:val="22"/>
                <w:lang w:eastAsia="el-GR"/>
              </w:rPr>
              <w:t> </w:t>
            </w:r>
          </w:p>
        </w:tc>
      </w:tr>
      <w:tr w:rsidR="004E3D7E" w:rsidRPr="0087712A" w14:paraId="567664E1" w14:textId="77777777">
        <w:trPr>
          <w:gridAfter w:val="1"/>
          <w:wAfter w:w="1384" w:type="dxa"/>
          <w:trHeight w:val="257"/>
        </w:trPr>
        <w:tc>
          <w:tcPr>
            <w:tcW w:w="3828" w:type="dxa"/>
            <w:tcBorders>
              <w:top w:val="single" w:sz="12" w:space="0" w:color="2683C6" w:themeColor="accent2"/>
              <w:left w:val="nil"/>
              <w:bottom w:val="single" w:sz="4" w:space="0" w:color="auto"/>
              <w:right w:val="nil"/>
            </w:tcBorders>
            <w:shd w:val="clear" w:color="auto" w:fill="auto"/>
            <w:noWrap/>
            <w:vAlign w:val="center"/>
            <w:hideMark/>
          </w:tcPr>
          <w:p w14:paraId="0A0ACA2E"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Scope 1 specific net CO</w:t>
            </w:r>
            <w:r w:rsidRPr="0087712A">
              <w:rPr>
                <w:rFonts w:ascii="Calibri" w:hAnsi="Calibri" w:cs="Calibri"/>
                <w:color w:val="000000"/>
                <w:sz w:val="22"/>
                <w:szCs w:val="22"/>
                <w:vertAlign w:val="subscript"/>
                <w:lang w:eastAsia="el-GR"/>
              </w:rPr>
              <w:t>2</w:t>
            </w:r>
            <w:r w:rsidRPr="0087712A">
              <w:rPr>
                <w:rFonts w:ascii="Calibri" w:hAnsi="Calibri" w:cs="Calibri"/>
                <w:color w:val="000000"/>
                <w:sz w:val="22"/>
                <w:szCs w:val="22"/>
                <w:lang w:eastAsia="el-GR"/>
              </w:rPr>
              <w:t xml:space="preserve"> emissions</w:t>
            </w:r>
            <w:r w:rsidRPr="0087712A">
              <w:rPr>
                <w:rFonts w:ascii="Calibri" w:hAnsi="Calibri" w:cs="Calibri"/>
                <w:color w:val="000000"/>
                <w:sz w:val="22"/>
                <w:szCs w:val="22"/>
                <w:vertAlign w:val="superscript"/>
                <w:lang w:eastAsia="el-GR"/>
              </w:rPr>
              <w:t>1,2</w:t>
            </w:r>
          </w:p>
        </w:tc>
        <w:tc>
          <w:tcPr>
            <w:tcW w:w="2667" w:type="dxa"/>
            <w:tcBorders>
              <w:top w:val="single" w:sz="12" w:space="0" w:color="2683C6" w:themeColor="accent2"/>
              <w:left w:val="nil"/>
              <w:bottom w:val="single" w:sz="4" w:space="0" w:color="auto"/>
              <w:right w:val="nil"/>
            </w:tcBorders>
            <w:shd w:val="clear" w:color="auto" w:fill="auto"/>
            <w:vAlign w:val="center"/>
            <w:hideMark/>
          </w:tcPr>
          <w:p w14:paraId="5AFAFAA3" w14:textId="77777777" w:rsidR="004E3D7E" w:rsidRPr="0087712A" w:rsidRDefault="004E3D7E">
            <w:pPr>
              <w:jc w:val="right"/>
              <w:rPr>
                <w:rFonts w:ascii="Calibri" w:hAnsi="Calibri" w:cs="Calibri"/>
                <w:color w:val="000000"/>
                <w:sz w:val="22"/>
                <w:szCs w:val="22"/>
                <w:lang w:val="el-GR" w:eastAsia="el-GR"/>
              </w:rPr>
            </w:pPr>
            <w:proofErr w:type="spellStart"/>
            <w:r w:rsidRPr="0087712A">
              <w:rPr>
                <w:rFonts w:ascii="Calibri" w:hAnsi="Calibri" w:cs="Calibri"/>
                <w:color w:val="000000"/>
                <w:sz w:val="22"/>
                <w:szCs w:val="22"/>
                <w:lang w:val="el-GR" w:eastAsia="el-GR"/>
              </w:rPr>
              <w:t>kg</w:t>
            </w:r>
            <w:proofErr w:type="spellEnd"/>
            <w:r w:rsidRPr="0087712A">
              <w:rPr>
                <w:rFonts w:ascii="Calibri" w:hAnsi="Calibri" w:cs="Calibri"/>
                <w:color w:val="000000"/>
                <w:sz w:val="22"/>
                <w:szCs w:val="22"/>
                <w:lang w:val="el-GR" w:eastAsia="el-GR"/>
              </w:rPr>
              <w:t xml:space="preserve">/t </w:t>
            </w:r>
            <w:r w:rsidRPr="0087712A">
              <w:rPr>
                <w:rFonts w:ascii="Calibri" w:hAnsi="Calibri" w:cs="Calibri"/>
                <w:color w:val="000000"/>
                <w:sz w:val="22"/>
                <w:szCs w:val="22"/>
                <w:lang w:eastAsia="el-GR"/>
              </w:rPr>
              <w:t>c</w:t>
            </w:r>
            <w:proofErr w:type="spellStart"/>
            <w:r w:rsidRPr="0087712A">
              <w:rPr>
                <w:rFonts w:ascii="Calibri" w:hAnsi="Calibri" w:cs="Calibri"/>
                <w:color w:val="000000"/>
                <w:sz w:val="22"/>
                <w:szCs w:val="22"/>
                <w:lang w:val="el-GR" w:eastAsia="el-GR"/>
              </w:rPr>
              <w:t>ementitious</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product</w:t>
            </w:r>
            <w:proofErr w:type="spellEnd"/>
          </w:p>
        </w:tc>
        <w:tc>
          <w:tcPr>
            <w:tcW w:w="257" w:type="dxa"/>
            <w:vMerge/>
            <w:tcBorders>
              <w:top w:val="single" w:sz="12" w:space="0" w:color="2683C6" w:themeColor="accent2"/>
              <w:left w:val="nil"/>
              <w:right w:val="nil"/>
            </w:tcBorders>
            <w:vAlign w:val="center"/>
            <w:hideMark/>
          </w:tcPr>
          <w:p w14:paraId="696E1455" w14:textId="77777777" w:rsidR="004E3D7E" w:rsidRPr="0087712A" w:rsidRDefault="004E3D7E">
            <w:pPr>
              <w:jc w:val="right"/>
              <w:rPr>
                <w:rFonts w:ascii="Calibri" w:hAnsi="Calibri" w:cs="Calibri"/>
                <w:color w:val="000000"/>
                <w:sz w:val="22"/>
                <w:szCs w:val="22"/>
                <w:lang w:val="el-GR" w:eastAsia="el-GR"/>
              </w:rPr>
            </w:pPr>
          </w:p>
        </w:tc>
        <w:tc>
          <w:tcPr>
            <w:tcW w:w="1382" w:type="dxa"/>
            <w:tcBorders>
              <w:top w:val="single" w:sz="12" w:space="0" w:color="2683C6" w:themeColor="accent2"/>
              <w:left w:val="nil"/>
              <w:bottom w:val="single" w:sz="4" w:space="0" w:color="auto"/>
              <w:right w:val="nil"/>
            </w:tcBorders>
            <w:shd w:val="clear" w:color="000000" w:fill="F2F2F2"/>
            <w:noWrap/>
            <w:vAlign w:val="center"/>
          </w:tcPr>
          <w:p w14:paraId="3F0EE7E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619.0</w:t>
            </w:r>
          </w:p>
        </w:tc>
        <w:tc>
          <w:tcPr>
            <w:tcW w:w="238" w:type="dxa"/>
            <w:vMerge/>
            <w:tcBorders>
              <w:top w:val="single" w:sz="12" w:space="0" w:color="2683C6" w:themeColor="accent2"/>
              <w:left w:val="nil"/>
              <w:right w:val="nil"/>
            </w:tcBorders>
            <w:vAlign w:val="center"/>
            <w:hideMark/>
          </w:tcPr>
          <w:p w14:paraId="39E37FC1" w14:textId="77777777" w:rsidR="004E3D7E" w:rsidRPr="0087712A" w:rsidRDefault="004E3D7E">
            <w:pPr>
              <w:rPr>
                <w:rFonts w:ascii="Calibri" w:hAnsi="Calibri" w:cs="Calibri"/>
                <w:color w:val="000000"/>
                <w:sz w:val="22"/>
                <w:szCs w:val="22"/>
                <w:lang w:val="el-GR" w:eastAsia="el-GR"/>
              </w:rPr>
            </w:pPr>
          </w:p>
        </w:tc>
        <w:tc>
          <w:tcPr>
            <w:tcW w:w="1280" w:type="dxa"/>
            <w:tcBorders>
              <w:top w:val="single" w:sz="12" w:space="0" w:color="2683C6" w:themeColor="accent2"/>
              <w:left w:val="nil"/>
              <w:bottom w:val="single" w:sz="4" w:space="0" w:color="auto"/>
              <w:right w:val="nil"/>
            </w:tcBorders>
            <w:shd w:val="clear" w:color="auto" w:fill="auto"/>
            <w:noWrap/>
            <w:vAlign w:val="center"/>
          </w:tcPr>
          <w:p w14:paraId="67A8EC19"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651.6</w:t>
            </w:r>
          </w:p>
        </w:tc>
      </w:tr>
      <w:tr w:rsidR="004E3D7E" w:rsidRPr="0087712A" w14:paraId="2BE4D963"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1708F7DD"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Scope 2 specific CO</w:t>
            </w:r>
            <w:r w:rsidRPr="0087712A">
              <w:rPr>
                <w:rFonts w:ascii="Calibri" w:hAnsi="Calibri" w:cs="Calibri"/>
                <w:color w:val="000000"/>
                <w:sz w:val="22"/>
                <w:szCs w:val="22"/>
                <w:vertAlign w:val="subscript"/>
                <w:lang w:eastAsia="el-GR"/>
              </w:rPr>
              <w:t>2</w:t>
            </w:r>
            <w:r w:rsidRPr="0087712A">
              <w:rPr>
                <w:rFonts w:ascii="Calibri" w:hAnsi="Calibri" w:cs="Calibri"/>
                <w:color w:val="000000"/>
                <w:sz w:val="22"/>
                <w:szCs w:val="22"/>
                <w:lang w:eastAsia="el-GR"/>
              </w:rPr>
              <w:t xml:space="preserve"> emissions</w:t>
            </w:r>
            <w:r w:rsidRPr="0087712A">
              <w:rPr>
                <w:rFonts w:ascii="Calibri" w:hAnsi="Calibri" w:cs="Calibri"/>
                <w:color w:val="000000"/>
                <w:sz w:val="22"/>
                <w:szCs w:val="22"/>
                <w:vertAlign w:val="superscript"/>
                <w:lang w:eastAsia="el-GR"/>
              </w:rPr>
              <w:t>1,2</w:t>
            </w:r>
          </w:p>
        </w:tc>
        <w:tc>
          <w:tcPr>
            <w:tcW w:w="2667" w:type="dxa"/>
            <w:tcBorders>
              <w:top w:val="single" w:sz="4" w:space="0" w:color="auto"/>
              <w:left w:val="nil"/>
              <w:bottom w:val="single" w:sz="4" w:space="0" w:color="auto"/>
              <w:right w:val="nil"/>
            </w:tcBorders>
            <w:shd w:val="clear" w:color="auto" w:fill="auto"/>
            <w:vAlign w:val="center"/>
          </w:tcPr>
          <w:p w14:paraId="4E1990E2" w14:textId="77777777" w:rsidR="004E3D7E" w:rsidRPr="0087712A" w:rsidRDefault="004E3D7E">
            <w:pPr>
              <w:jc w:val="right"/>
              <w:rPr>
                <w:rFonts w:ascii="Calibri" w:hAnsi="Calibri" w:cs="Calibri"/>
                <w:color w:val="000000"/>
                <w:sz w:val="22"/>
                <w:szCs w:val="22"/>
                <w:lang w:eastAsia="el-GR"/>
              </w:rPr>
            </w:pPr>
            <w:proofErr w:type="spellStart"/>
            <w:r w:rsidRPr="0087712A">
              <w:rPr>
                <w:rFonts w:ascii="Calibri" w:hAnsi="Calibri" w:cs="Calibri"/>
                <w:color w:val="000000"/>
                <w:sz w:val="22"/>
                <w:szCs w:val="22"/>
                <w:lang w:val="el-GR" w:eastAsia="el-GR"/>
              </w:rPr>
              <w:t>kg</w:t>
            </w:r>
            <w:proofErr w:type="spellEnd"/>
            <w:r w:rsidRPr="0087712A">
              <w:rPr>
                <w:rFonts w:ascii="Calibri" w:hAnsi="Calibri" w:cs="Calibri"/>
                <w:color w:val="000000"/>
                <w:sz w:val="22"/>
                <w:szCs w:val="22"/>
                <w:lang w:val="el-GR" w:eastAsia="el-GR"/>
              </w:rPr>
              <w:t xml:space="preserve">/t </w:t>
            </w:r>
            <w:r w:rsidRPr="0087712A">
              <w:rPr>
                <w:rFonts w:ascii="Calibri" w:hAnsi="Calibri" w:cs="Calibri"/>
                <w:color w:val="000000"/>
                <w:sz w:val="22"/>
                <w:szCs w:val="22"/>
                <w:lang w:eastAsia="el-GR"/>
              </w:rPr>
              <w:t>c</w:t>
            </w:r>
            <w:proofErr w:type="spellStart"/>
            <w:r w:rsidRPr="0087712A">
              <w:rPr>
                <w:rFonts w:ascii="Calibri" w:hAnsi="Calibri" w:cs="Calibri"/>
                <w:color w:val="000000"/>
                <w:sz w:val="22"/>
                <w:szCs w:val="22"/>
                <w:lang w:val="el-GR" w:eastAsia="el-GR"/>
              </w:rPr>
              <w:t>ementitious</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product</w:t>
            </w:r>
            <w:proofErr w:type="spellEnd"/>
          </w:p>
        </w:tc>
        <w:tc>
          <w:tcPr>
            <w:tcW w:w="257" w:type="dxa"/>
            <w:vMerge/>
            <w:tcBorders>
              <w:left w:val="nil"/>
              <w:right w:val="nil"/>
            </w:tcBorders>
            <w:vAlign w:val="center"/>
          </w:tcPr>
          <w:p w14:paraId="45D7FF66" w14:textId="77777777" w:rsidR="004E3D7E" w:rsidRPr="0087712A" w:rsidRDefault="004E3D7E">
            <w:pPr>
              <w:jc w:val="right"/>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0A6DC8F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47.0</w:t>
            </w:r>
          </w:p>
        </w:tc>
        <w:tc>
          <w:tcPr>
            <w:tcW w:w="238" w:type="dxa"/>
            <w:vMerge/>
            <w:tcBorders>
              <w:left w:val="nil"/>
              <w:right w:val="nil"/>
            </w:tcBorders>
            <w:vAlign w:val="center"/>
          </w:tcPr>
          <w:p w14:paraId="30C38E90"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5940F431"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49.3</w:t>
            </w:r>
          </w:p>
        </w:tc>
      </w:tr>
      <w:tr w:rsidR="004E3D7E" w:rsidRPr="0087712A" w14:paraId="50B31603"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05747FCA" w14:textId="77777777" w:rsidR="004E3D7E" w:rsidRPr="0087712A" w:rsidRDefault="004E3D7E">
            <w:pPr>
              <w:rPr>
                <w:rFonts w:ascii="Calibri" w:hAnsi="Calibri" w:cs="Calibri"/>
                <w:color w:val="000000"/>
                <w:sz w:val="22"/>
                <w:szCs w:val="22"/>
                <w:lang w:val="el-GR" w:eastAsia="el-GR"/>
              </w:rPr>
            </w:pPr>
            <w:r w:rsidRPr="0087712A">
              <w:rPr>
                <w:rFonts w:ascii="Calibri" w:hAnsi="Calibri" w:cs="Calibri"/>
                <w:color w:val="000000"/>
                <w:sz w:val="22"/>
                <w:szCs w:val="22"/>
                <w:lang w:eastAsia="el-GR"/>
              </w:rPr>
              <w:t>Scope 3 specific CO</w:t>
            </w:r>
            <w:r w:rsidRPr="0087712A">
              <w:rPr>
                <w:rFonts w:ascii="Calibri" w:hAnsi="Calibri" w:cs="Calibri"/>
                <w:color w:val="000000"/>
                <w:sz w:val="22"/>
                <w:szCs w:val="22"/>
                <w:vertAlign w:val="subscript"/>
                <w:lang w:eastAsia="el-GR"/>
              </w:rPr>
              <w:t>2</w:t>
            </w:r>
            <w:r w:rsidRPr="0087712A">
              <w:rPr>
                <w:rFonts w:ascii="Calibri" w:hAnsi="Calibri" w:cs="Calibri"/>
                <w:color w:val="000000"/>
                <w:sz w:val="22"/>
                <w:szCs w:val="22"/>
                <w:lang w:eastAsia="el-GR"/>
              </w:rPr>
              <w:t xml:space="preserve"> emissions</w:t>
            </w:r>
            <w:r w:rsidRPr="0087712A">
              <w:rPr>
                <w:rFonts w:ascii="Calibri" w:hAnsi="Calibri" w:cs="Calibri"/>
                <w:color w:val="000000"/>
                <w:sz w:val="22"/>
                <w:szCs w:val="22"/>
                <w:vertAlign w:val="superscript"/>
                <w:lang w:eastAsia="el-GR"/>
              </w:rPr>
              <w:t>1,2</w:t>
            </w:r>
          </w:p>
        </w:tc>
        <w:tc>
          <w:tcPr>
            <w:tcW w:w="2667" w:type="dxa"/>
            <w:tcBorders>
              <w:top w:val="single" w:sz="4" w:space="0" w:color="auto"/>
              <w:left w:val="nil"/>
              <w:bottom w:val="single" w:sz="4" w:space="0" w:color="auto"/>
              <w:right w:val="nil"/>
            </w:tcBorders>
            <w:shd w:val="clear" w:color="auto" w:fill="auto"/>
            <w:vAlign w:val="center"/>
          </w:tcPr>
          <w:p w14:paraId="61570D2C" w14:textId="77777777" w:rsidR="004E3D7E" w:rsidRPr="0087712A" w:rsidRDefault="004E3D7E">
            <w:pPr>
              <w:jc w:val="right"/>
              <w:rPr>
                <w:rFonts w:ascii="Calibri" w:hAnsi="Calibri" w:cs="Calibri"/>
                <w:color w:val="000000"/>
                <w:sz w:val="22"/>
                <w:szCs w:val="22"/>
                <w:lang w:eastAsia="el-GR"/>
              </w:rPr>
            </w:pPr>
            <w:proofErr w:type="spellStart"/>
            <w:r w:rsidRPr="0087712A">
              <w:rPr>
                <w:rFonts w:ascii="Calibri" w:hAnsi="Calibri" w:cs="Calibri"/>
                <w:color w:val="000000"/>
                <w:sz w:val="22"/>
                <w:szCs w:val="22"/>
                <w:lang w:val="el-GR" w:eastAsia="el-GR"/>
              </w:rPr>
              <w:t>kg</w:t>
            </w:r>
            <w:proofErr w:type="spellEnd"/>
            <w:r w:rsidRPr="0087712A">
              <w:rPr>
                <w:rFonts w:ascii="Calibri" w:hAnsi="Calibri" w:cs="Calibri"/>
                <w:color w:val="000000"/>
                <w:sz w:val="22"/>
                <w:szCs w:val="22"/>
                <w:lang w:val="el-GR" w:eastAsia="el-GR"/>
              </w:rPr>
              <w:t xml:space="preserve">/t </w:t>
            </w:r>
            <w:r w:rsidRPr="0087712A">
              <w:rPr>
                <w:rFonts w:ascii="Calibri" w:hAnsi="Calibri" w:cs="Calibri"/>
                <w:color w:val="000000"/>
                <w:sz w:val="22"/>
                <w:szCs w:val="22"/>
                <w:lang w:eastAsia="el-GR"/>
              </w:rPr>
              <w:t>c</w:t>
            </w:r>
            <w:proofErr w:type="spellStart"/>
            <w:r w:rsidRPr="0087712A">
              <w:rPr>
                <w:rFonts w:ascii="Calibri" w:hAnsi="Calibri" w:cs="Calibri"/>
                <w:color w:val="000000"/>
                <w:sz w:val="22"/>
                <w:szCs w:val="22"/>
                <w:lang w:val="el-GR" w:eastAsia="el-GR"/>
              </w:rPr>
              <w:t>ementitious</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product</w:t>
            </w:r>
            <w:proofErr w:type="spellEnd"/>
          </w:p>
        </w:tc>
        <w:tc>
          <w:tcPr>
            <w:tcW w:w="257" w:type="dxa"/>
            <w:vMerge/>
            <w:tcBorders>
              <w:left w:val="nil"/>
              <w:right w:val="nil"/>
            </w:tcBorders>
            <w:vAlign w:val="center"/>
          </w:tcPr>
          <w:p w14:paraId="63A131F1" w14:textId="77777777" w:rsidR="004E3D7E" w:rsidRPr="0087712A" w:rsidRDefault="004E3D7E">
            <w:pPr>
              <w:jc w:val="right"/>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3A05C60A" w14:textId="77D63438" w:rsidR="004E3D7E" w:rsidRPr="00BC2262" w:rsidRDefault="00BC2262">
            <w:pPr>
              <w:jc w:val="right"/>
              <w:rPr>
                <w:rFonts w:ascii="Calibri" w:hAnsi="Calibri" w:cs="Calibri"/>
                <w:color w:val="000000"/>
                <w:sz w:val="22"/>
                <w:szCs w:val="22"/>
                <w:lang w:eastAsia="el-GR"/>
              </w:rPr>
            </w:pPr>
            <w:r>
              <w:rPr>
                <w:rFonts w:ascii="Calibri" w:hAnsi="Calibri" w:cs="Calibri"/>
                <w:color w:val="000000"/>
                <w:sz w:val="22"/>
                <w:szCs w:val="22"/>
                <w:lang w:eastAsia="el-GR"/>
              </w:rPr>
              <w:t>116.7</w:t>
            </w:r>
          </w:p>
        </w:tc>
        <w:tc>
          <w:tcPr>
            <w:tcW w:w="238" w:type="dxa"/>
            <w:vMerge/>
            <w:tcBorders>
              <w:left w:val="nil"/>
              <w:right w:val="nil"/>
            </w:tcBorders>
            <w:vAlign w:val="center"/>
          </w:tcPr>
          <w:p w14:paraId="0A8B3F29"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1B02ACF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val="el-GR" w:eastAsia="el-GR"/>
              </w:rPr>
              <w:t>102.8</w:t>
            </w:r>
          </w:p>
        </w:tc>
      </w:tr>
      <w:tr w:rsidR="004E3D7E" w:rsidRPr="0087712A" w14:paraId="10D15904"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01606276" w14:textId="77777777" w:rsidR="004E3D7E" w:rsidRPr="0087712A" w:rsidRDefault="004E3D7E">
            <w:pPr>
              <w:rPr>
                <w:rFonts w:ascii="Calibri" w:hAnsi="Calibri" w:cs="Calibri"/>
                <w:color w:val="000000"/>
                <w:sz w:val="22"/>
                <w:szCs w:val="22"/>
                <w:lang w:val="el-GR" w:eastAsia="el-GR"/>
              </w:rPr>
            </w:pPr>
            <w:proofErr w:type="spellStart"/>
            <w:r w:rsidRPr="0087712A">
              <w:rPr>
                <w:rFonts w:ascii="Calibri" w:hAnsi="Calibri" w:cs="Calibri"/>
                <w:color w:val="000000"/>
                <w:sz w:val="22"/>
                <w:szCs w:val="22"/>
                <w:lang w:val="el-GR" w:eastAsia="el-GR"/>
              </w:rPr>
              <w:t>Alternative</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fuel</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substitution</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rate</w:t>
            </w:r>
            <w:proofErr w:type="spellEnd"/>
            <w:r w:rsidRPr="0087712A">
              <w:rPr>
                <w:rFonts w:ascii="Calibri" w:hAnsi="Calibri" w:cs="Calibri"/>
                <w:color w:val="000000"/>
                <w:sz w:val="22"/>
                <w:szCs w:val="22"/>
                <w:vertAlign w:val="superscript"/>
                <w:lang w:eastAsia="el-GR"/>
              </w:rPr>
              <w:t>1</w:t>
            </w:r>
          </w:p>
        </w:tc>
        <w:tc>
          <w:tcPr>
            <w:tcW w:w="2667" w:type="dxa"/>
            <w:tcBorders>
              <w:top w:val="nil"/>
              <w:left w:val="nil"/>
              <w:bottom w:val="single" w:sz="4" w:space="0" w:color="auto"/>
              <w:right w:val="nil"/>
            </w:tcBorders>
            <w:shd w:val="clear" w:color="auto" w:fill="auto"/>
            <w:vAlign w:val="center"/>
          </w:tcPr>
          <w:p w14:paraId="69ADF586"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val="el-GR" w:eastAsia="el-GR"/>
              </w:rPr>
              <w:t>%</w:t>
            </w:r>
            <w:r w:rsidRPr="0087712A">
              <w:rPr>
                <w:rFonts w:ascii="Calibri" w:hAnsi="Calibri" w:cs="Calibri"/>
                <w:color w:val="000000"/>
                <w:sz w:val="22"/>
                <w:szCs w:val="22"/>
                <w:lang w:eastAsia="el-GR"/>
              </w:rPr>
              <w:t xml:space="preserve"> Heat</w:t>
            </w:r>
          </w:p>
        </w:tc>
        <w:tc>
          <w:tcPr>
            <w:tcW w:w="257" w:type="dxa"/>
            <w:vMerge/>
            <w:tcBorders>
              <w:left w:val="nil"/>
              <w:right w:val="nil"/>
            </w:tcBorders>
            <w:vAlign w:val="center"/>
          </w:tcPr>
          <w:p w14:paraId="51B0F969" w14:textId="77777777" w:rsidR="004E3D7E" w:rsidRPr="0087712A" w:rsidRDefault="004E3D7E">
            <w:pPr>
              <w:jc w:val="right"/>
              <w:rPr>
                <w:rFonts w:ascii="Calibri" w:hAnsi="Calibri" w:cs="Calibri"/>
                <w:color w:val="000000"/>
                <w:sz w:val="22"/>
                <w:szCs w:val="22"/>
                <w:lang w:val="el-GR" w:eastAsia="el-GR"/>
              </w:rPr>
            </w:pPr>
          </w:p>
        </w:tc>
        <w:tc>
          <w:tcPr>
            <w:tcW w:w="1382" w:type="dxa"/>
            <w:tcBorders>
              <w:top w:val="nil"/>
              <w:left w:val="nil"/>
              <w:bottom w:val="single" w:sz="4" w:space="0" w:color="auto"/>
              <w:right w:val="nil"/>
            </w:tcBorders>
            <w:shd w:val="clear" w:color="000000" w:fill="F2F2F2"/>
            <w:noWrap/>
            <w:vAlign w:val="center"/>
          </w:tcPr>
          <w:p w14:paraId="0D5D0D62"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17.5</w:t>
            </w:r>
          </w:p>
        </w:tc>
        <w:tc>
          <w:tcPr>
            <w:tcW w:w="238" w:type="dxa"/>
            <w:vMerge/>
            <w:tcBorders>
              <w:left w:val="nil"/>
              <w:right w:val="nil"/>
            </w:tcBorders>
            <w:vAlign w:val="center"/>
          </w:tcPr>
          <w:p w14:paraId="45D73315"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4" w:space="0" w:color="auto"/>
              <w:right w:val="nil"/>
            </w:tcBorders>
            <w:shd w:val="clear" w:color="auto" w:fill="auto"/>
            <w:noWrap/>
            <w:vAlign w:val="center"/>
          </w:tcPr>
          <w:p w14:paraId="6BCF753B"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eastAsia="el-GR"/>
              </w:rPr>
              <w:t>15.5</w:t>
            </w:r>
          </w:p>
        </w:tc>
      </w:tr>
      <w:tr w:rsidR="004E3D7E" w:rsidRPr="0087712A" w14:paraId="39452065"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4A50963D"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Clinker to cement ratio</w:t>
            </w:r>
            <w:r w:rsidRPr="0087712A">
              <w:rPr>
                <w:rFonts w:ascii="Calibri" w:hAnsi="Calibri" w:cs="Calibri"/>
                <w:color w:val="000000"/>
                <w:sz w:val="22"/>
                <w:szCs w:val="22"/>
                <w:vertAlign w:val="superscript"/>
                <w:lang w:eastAsia="el-GR"/>
              </w:rPr>
              <w:t>1</w:t>
            </w:r>
          </w:p>
        </w:tc>
        <w:tc>
          <w:tcPr>
            <w:tcW w:w="2667" w:type="dxa"/>
            <w:tcBorders>
              <w:top w:val="nil"/>
              <w:left w:val="nil"/>
              <w:bottom w:val="single" w:sz="4" w:space="0" w:color="auto"/>
              <w:right w:val="nil"/>
            </w:tcBorders>
            <w:shd w:val="clear" w:color="auto" w:fill="auto"/>
            <w:vAlign w:val="center"/>
          </w:tcPr>
          <w:p w14:paraId="10A08D50"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left w:val="nil"/>
              <w:right w:val="nil"/>
            </w:tcBorders>
            <w:vAlign w:val="center"/>
          </w:tcPr>
          <w:p w14:paraId="7A59DFCB" w14:textId="77777777" w:rsidR="004E3D7E" w:rsidRPr="0087712A" w:rsidRDefault="004E3D7E">
            <w:pPr>
              <w:jc w:val="right"/>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tcPr>
          <w:p w14:paraId="64EB759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78.4</w:t>
            </w:r>
          </w:p>
        </w:tc>
        <w:tc>
          <w:tcPr>
            <w:tcW w:w="238" w:type="dxa"/>
            <w:vMerge/>
            <w:tcBorders>
              <w:left w:val="nil"/>
              <w:right w:val="nil"/>
            </w:tcBorders>
          </w:tcPr>
          <w:p w14:paraId="380C0671"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tcPr>
          <w:p w14:paraId="405FE0F0"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81.0</w:t>
            </w:r>
          </w:p>
        </w:tc>
      </w:tr>
      <w:tr w:rsidR="004E3D7E" w:rsidRPr="0087712A" w14:paraId="783F0774"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2BF887ED"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Green products</w:t>
            </w:r>
          </w:p>
        </w:tc>
        <w:tc>
          <w:tcPr>
            <w:tcW w:w="2667" w:type="dxa"/>
            <w:tcBorders>
              <w:top w:val="nil"/>
              <w:left w:val="nil"/>
              <w:bottom w:val="single" w:sz="4" w:space="0" w:color="auto"/>
              <w:right w:val="nil"/>
            </w:tcBorders>
            <w:shd w:val="clear" w:color="auto" w:fill="auto"/>
            <w:vAlign w:val="center"/>
          </w:tcPr>
          <w:p w14:paraId="788362A4"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 cement production</w:t>
            </w:r>
          </w:p>
        </w:tc>
        <w:tc>
          <w:tcPr>
            <w:tcW w:w="257" w:type="dxa"/>
            <w:vMerge/>
            <w:tcBorders>
              <w:left w:val="nil"/>
              <w:right w:val="nil"/>
            </w:tcBorders>
            <w:vAlign w:val="center"/>
          </w:tcPr>
          <w:p w14:paraId="636C1BB9" w14:textId="77777777" w:rsidR="004E3D7E" w:rsidRPr="0087712A" w:rsidRDefault="004E3D7E">
            <w:pPr>
              <w:jc w:val="right"/>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457062A5"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19.5</w:t>
            </w:r>
          </w:p>
        </w:tc>
        <w:tc>
          <w:tcPr>
            <w:tcW w:w="238" w:type="dxa"/>
            <w:vMerge/>
            <w:tcBorders>
              <w:left w:val="nil"/>
              <w:right w:val="nil"/>
            </w:tcBorders>
            <w:vAlign w:val="center"/>
          </w:tcPr>
          <w:p w14:paraId="03853700"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289BB36C"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16.2</w:t>
            </w:r>
          </w:p>
        </w:tc>
      </w:tr>
      <w:tr w:rsidR="004E3D7E" w:rsidRPr="0087712A" w14:paraId="51EDF0B7" w14:textId="77777777">
        <w:trPr>
          <w:gridAfter w:val="1"/>
          <w:wAfter w:w="1384" w:type="dxa"/>
          <w:trHeight w:val="321"/>
        </w:trPr>
        <w:tc>
          <w:tcPr>
            <w:tcW w:w="3828" w:type="dxa"/>
            <w:tcBorders>
              <w:top w:val="nil"/>
              <w:left w:val="nil"/>
              <w:bottom w:val="single" w:sz="4" w:space="0" w:color="auto"/>
              <w:right w:val="nil"/>
            </w:tcBorders>
            <w:shd w:val="clear" w:color="auto" w:fill="auto"/>
            <w:noWrap/>
            <w:vAlign w:val="center"/>
          </w:tcPr>
          <w:p w14:paraId="250DE973"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 xml:space="preserve">Taxonomy-aligned </w:t>
            </w:r>
            <w:proofErr w:type="spellStart"/>
            <w:r w:rsidRPr="0087712A">
              <w:rPr>
                <w:rFonts w:ascii="Calibri" w:hAnsi="Calibri" w:cs="Calibri"/>
                <w:color w:val="000000"/>
                <w:sz w:val="22"/>
                <w:szCs w:val="22"/>
                <w:lang w:eastAsia="el-GR"/>
              </w:rPr>
              <w:t>CapEx</w:t>
            </w:r>
            <w:proofErr w:type="spellEnd"/>
          </w:p>
        </w:tc>
        <w:tc>
          <w:tcPr>
            <w:tcW w:w="2667" w:type="dxa"/>
            <w:tcBorders>
              <w:top w:val="nil"/>
              <w:left w:val="nil"/>
              <w:bottom w:val="single" w:sz="4" w:space="0" w:color="auto"/>
              <w:right w:val="nil"/>
            </w:tcBorders>
            <w:shd w:val="clear" w:color="auto" w:fill="auto"/>
            <w:vAlign w:val="center"/>
          </w:tcPr>
          <w:p w14:paraId="21C1A171"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 xml:space="preserve">million </w:t>
            </w:r>
            <w:r w:rsidRPr="0087712A">
              <w:rPr>
                <w:rFonts w:ascii="Calibri" w:hAnsi="Calibri" w:cs="Calibri"/>
                <w:color w:val="000000"/>
                <w:sz w:val="22"/>
                <w:szCs w:val="22"/>
                <w:lang w:val="el-GR" w:eastAsia="el-GR"/>
              </w:rPr>
              <w:t>€</w:t>
            </w:r>
          </w:p>
        </w:tc>
        <w:tc>
          <w:tcPr>
            <w:tcW w:w="257" w:type="dxa"/>
            <w:vMerge/>
            <w:tcBorders>
              <w:left w:val="nil"/>
              <w:right w:val="nil"/>
            </w:tcBorders>
            <w:vAlign w:val="center"/>
          </w:tcPr>
          <w:p w14:paraId="1C5B3C87" w14:textId="77777777" w:rsidR="004E3D7E" w:rsidRPr="0087712A" w:rsidRDefault="004E3D7E">
            <w:pPr>
              <w:jc w:val="right"/>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732DBDAA"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38.6</w:t>
            </w:r>
          </w:p>
        </w:tc>
        <w:tc>
          <w:tcPr>
            <w:tcW w:w="238" w:type="dxa"/>
            <w:vMerge/>
            <w:tcBorders>
              <w:left w:val="nil"/>
              <w:right w:val="nil"/>
            </w:tcBorders>
            <w:vAlign w:val="center"/>
          </w:tcPr>
          <w:p w14:paraId="3CD20C8F"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61388FB5"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n/a</w:t>
            </w:r>
          </w:p>
        </w:tc>
      </w:tr>
      <w:tr w:rsidR="004E3D7E" w:rsidRPr="0087712A" w14:paraId="4621F4D9"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30386DC7"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Investment in Research &amp; Innovation</w:t>
            </w:r>
          </w:p>
        </w:tc>
        <w:tc>
          <w:tcPr>
            <w:tcW w:w="2667" w:type="dxa"/>
            <w:tcBorders>
              <w:top w:val="nil"/>
              <w:left w:val="nil"/>
              <w:bottom w:val="single" w:sz="4" w:space="0" w:color="auto"/>
              <w:right w:val="nil"/>
            </w:tcBorders>
            <w:shd w:val="clear" w:color="auto" w:fill="auto"/>
            <w:vAlign w:val="center"/>
          </w:tcPr>
          <w:p w14:paraId="7FD8483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 xml:space="preserve">million </w:t>
            </w:r>
            <w:r w:rsidRPr="0087712A">
              <w:rPr>
                <w:rFonts w:ascii="Calibri" w:hAnsi="Calibri" w:cs="Calibri"/>
                <w:color w:val="000000"/>
                <w:sz w:val="22"/>
                <w:szCs w:val="22"/>
                <w:lang w:val="el-GR" w:eastAsia="el-GR"/>
              </w:rPr>
              <w:t>€</w:t>
            </w:r>
            <w:r w:rsidRPr="0087712A">
              <w:rPr>
                <w:rFonts w:ascii="Calibri" w:hAnsi="Calibri" w:cs="Calibri"/>
                <w:color w:val="000000"/>
                <w:sz w:val="22"/>
                <w:szCs w:val="22"/>
                <w:lang w:eastAsia="el-GR"/>
              </w:rPr>
              <w:t>/year</w:t>
            </w:r>
          </w:p>
        </w:tc>
        <w:tc>
          <w:tcPr>
            <w:tcW w:w="257" w:type="dxa"/>
            <w:vMerge/>
            <w:tcBorders>
              <w:left w:val="nil"/>
              <w:bottom w:val="nil"/>
              <w:right w:val="nil"/>
            </w:tcBorders>
            <w:vAlign w:val="center"/>
          </w:tcPr>
          <w:p w14:paraId="2756D5B9" w14:textId="77777777" w:rsidR="004E3D7E" w:rsidRPr="0087712A" w:rsidRDefault="004E3D7E">
            <w:pPr>
              <w:rPr>
                <w:rFonts w:ascii="Calibri" w:hAnsi="Calibri" w:cs="Calibri"/>
                <w:color w:val="000000"/>
                <w:sz w:val="22"/>
                <w:szCs w:val="22"/>
                <w:lang w:val="el-GR" w:eastAsia="el-GR"/>
              </w:rPr>
            </w:pPr>
          </w:p>
        </w:tc>
        <w:tc>
          <w:tcPr>
            <w:tcW w:w="1382" w:type="dxa"/>
            <w:tcBorders>
              <w:top w:val="nil"/>
              <w:left w:val="nil"/>
              <w:bottom w:val="single" w:sz="4" w:space="0" w:color="auto"/>
              <w:right w:val="nil"/>
            </w:tcBorders>
            <w:shd w:val="clear" w:color="000000" w:fill="F2F2F2"/>
            <w:noWrap/>
            <w:vAlign w:val="center"/>
          </w:tcPr>
          <w:p w14:paraId="4951E429" w14:textId="6F9E3450" w:rsidR="004E3D7E" w:rsidRPr="0087712A" w:rsidRDefault="000B0BCD">
            <w:pPr>
              <w:jc w:val="right"/>
              <w:rPr>
                <w:rFonts w:ascii="Calibri" w:hAnsi="Calibri" w:cs="Calibri"/>
                <w:color w:val="000000"/>
                <w:sz w:val="22"/>
                <w:szCs w:val="22"/>
                <w:lang w:eastAsia="el-GR"/>
              </w:rPr>
            </w:pPr>
            <w:r>
              <w:rPr>
                <w:rFonts w:ascii="Calibri" w:hAnsi="Calibri" w:cs="Calibri"/>
                <w:color w:val="000000"/>
                <w:sz w:val="22"/>
                <w:szCs w:val="22"/>
                <w:lang w:eastAsia="el-GR"/>
              </w:rPr>
              <w:t>11.7</w:t>
            </w:r>
          </w:p>
        </w:tc>
        <w:tc>
          <w:tcPr>
            <w:tcW w:w="238" w:type="dxa"/>
            <w:vMerge/>
            <w:tcBorders>
              <w:left w:val="nil"/>
              <w:bottom w:val="nil"/>
              <w:right w:val="nil"/>
            </w:tcBorders>
            <w:vAlign w:val="center"/>
          </w:tcPr>
          <w:p w14:paraId="65AADD72"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4" w:space="0" w:color="auto"/>
              <w:right w:val="nil"/>
            </w:tcBorders>
            <w:shd w:val="clear" w:color="auto" w:fill="auto"/>
            <w:noWrap/>
            <w:vAlign w:val="center"/>
          </w:tcPr>
          <w:p w14:paraId="66FE5579"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val="el-GR" w:eastAsia="el-GR"/>
              </w:rPr>
              <w:t>10.</w:t>
            </w:r>
            <w:r w:rsidRPr="0087712A">
              <w:rPr>
                <w:rFonts w:ascii="Calibri" w:hAnsi="Calibri" w:cs="Calibri"/>
                <w:color w:val="000000"/>
                <w:sz w:val="22"/>
                <w:szCs w:val="22"/>
                <w:lang w:eastAsia="el-GR"/>
              </w:rPr>
              <w:t>7</w:t>
            </w:r>
          </w:p>
        </w:tc>
      </w:tr>
      <w:tr w:rsidR="004E3D7E" w:rsidRPr="0087712A" w14:paraId="3E84F254" w14:textId="77777777">
        <w:trPr>
          <w:trHeight w:val="131"/>
        </w:trPr>
        <w:tc>
          <w:tcPr>
            <w:tcW w:w="6495" w:type="dxa"/>
            <w:gridSpan w:val="2"/>
            <w:tcBorders>
              <w:top w:val="single" w:sz="4" w:space="0" w:color="auto"/>
              <w:left w:val="nil"/>
              <w:bottom w:val="single" w:sz="12" w:space="0" w:color="2683C6" w:themeColor="accent2"/>
              <w:right w:val="nil"/>
            </w:tcBorders>
            <w:shd w:val="clear" w:color="auto" w:fill="auto"/>
            <w:noWrap/>
            <w:vAlign w:val="center"/>
            <w:hideMark/>
          </w:tcPr>
          <w:p w14:paraId="1FBB0645" w14:textId="77777777" w:rsidR="004E3D7E" w:rsidRPr="0087712A" w:rsidRDefault="004E3D7E">
            <w:pPr>
              <w:rPr>
                <w:rFonts w:ascii="Calibri" w:hAnsi="Calibri" w:cs="Calibri"/>
                <w:b/>
                <w:bCs/>
                <w:color w:val="4F81BD"/>
                <w:sz w:val="22"/>
                <w:szCs w:val="22"/>
                <w:lang w:eastAsia="el-GR"/>
              </w:rPr>
            </w:pPr>
            <w:r w:rsidRPr="0087712A">
              <w:rPr>
                <w:rFonts w:ascii="Calibri" w:hAnsi="Calibri" w:cs="Calibri"/>
                <w:b/>
                <w:bCs/>
                <w:color w:val="4F81BD"/>
                <w:sz w:val="22"/>
                <w:szCs w:val="22"/>
                <w:lang w:eastAsia="el-GR"/>
              </w:rPr>
              <w:t>Growth-enabling work environment</w:t>
            </w:r>
          </w:p>
        </w:tc>
        <w:tc>
          <w:tcPr>
            <w:tcW w:w="257" w:type="dxa"/>
            <w:tcBorders>
              <w:top w:val="nil"/>
              <w:left w:val="nil"/>
              <w:bottom w:val="single" w:sz="12" w:space="0" w:color="2683C6" w:themeColor="accent2"/>
              <w:right w:val="nil"/>
            </w:tcBorders>
            <w:vAlign w:val="center"/>
            <w:hideMark/>
          </w:tcPr>
          <w:p w14:paraId="64EC4BF2" w14:textId="77777777" w:rsidR="004E3D7E" w:rsidRPr="0087712A" w:rsidRDefault="004E3D7E">
            <w:pPr>
              <w:rPr>
                <w:rFonts w:ascii="Calibri" w:hAnsi="Calibri" w:cs="Calibri"/>
                <w:b/>
                <w:bCs/>
                <w:color w:val="4F81BD"/>
                <w:sz w:val="22"/>
                <w:szCs w:val="22"/>
                <w:lang w:eastAsia="el-GR"/>
              </w:rPr>
            </w:pPr>
          </w:p>
        </w:tc>
        <w:tc>
          <w:tcPr>
            <w:tcW w:w="1382" w:type="dxa"/>
            <w:tcBorders>
              <w:top w:val="single" w:sz="4" w:space="0" w:color="auto"/>
              <w:left w:val="nil"/>
              <w:bottom w:val="single" w:sz="12" w:space="0" w:color="2683C6" w:themeColor="accent2"/>
              <w:right w:val="nil"/>
            </w:tcBorders>
            <w:shd w:val="clear" w:color="000000" w:fill="FFFFFF"/>
            <w:noWrap/>
            <w:vAlign w:val="center"/>
          </w:tcPr>
          <w:p w14:paraId="582A7CAC" w14:textId="77777777" w:rsidR="004E3D7E" w:rsidRPr="0087712A" w:rsidRDefault="004E3D7E">
            <w:pPr>
              <w:rPr>
                <w:rFonts w:ascii="Calibri" w:hAnsi="Calibri" w:cs="Calibri"/>
                <w:b/>
                <w:bCs/>
                <w:color w:val="4F81BD"/>
                <w:sz w:val="22"/>
                <w:szCs w:val="22"/>
                <w:lang w:eastAsia="el-GR"/>
              </w:rPr>
            </w:pPr>
          </w:p>
        </w:tc>
        <w:tc>
          <w:tcPr>
            <w:tcW w:w="238" w:type="dxa"/>
            <w:tcBorders>
              <w:top w:val="nil"/>
              <w:left w:val="nil"/>
              <w:bottom w:val="single" w:sz="12" w:space="0" w:color="2683C6" w:themeColor="accent2"/>
              <w:right w:val="nil"/>
            </w:tcBorders>
            <w:vAlign w:val="center"/>
            <w:hideMark/>
          </w:tcPr>
          <w:p w14:paraId="70FDB2B1" w14:textId="77777777" w:rsidR="004E3D7E" w:rsidRPr="0087712A" w:rsidRDefault="004E3D7E">
            <w:pPr>
              <w:rPr>
                <w:rFonts w:ascii="Calibri" w:hAnsi="Calibri" w:cs="Calibri"/>
                <w:b/>
                <w:bCs/>
                <w:color w:val="4F81BD"/>
                <w:sz w:val="22"/>
                <w:szCs w:val="22"/>
                <w:lang w:eastAsia="el-GR"/>
              </w:rPr>
            </w:pPr>
          </w:p>
        </w:tc>
        <w:tc>
          <w:tcPr>
            <w:tcW w:w="1280" w:type="dxa"/>
            <w:tcBorders>
              <w:top w:val="single" w:sz="4" w:space="0" w:color="auto"/>
              <w:left w:val="nil"/>
              <w:bottom w:val="single" w:sz="12" w:space="0" w:color="2683C6" w:themeColor="accent2"/>
              <w:right w:val="nil"/>
            </w:tcBorders>
            <w:shd w:val="clear" w:color="auto" w:fill="auto"/>
            <w:noWrap/>
            <w:vAlign w:val="center"/>
          </w:tcPr>
          <w:p w14:paraId="4FBD12D5" w14:textId="77777777" w:rsidR="004E3D7E" w:rsidRPr="0087712A" w:rsidRDefault="004E3D7E">
            <w:pPr>
              <w:rPr>
                <w:rFonts w:ascii="Calibri" w:hAnsi="Calibri" w:cs="Calibri"/>
                <w:b/>
                <w:bCs/>
                <w:color w:val="4F81BD"/>
                <w:sz w:val="22"/>
                <w:szCs w:val="22"/>
                <w:lang w:eastAsia="el-GR"/>
              </w:rPr>
            </w:pPr>
          </w:p>
        </w:tc>
        <w:tc>
          <w:tcPr>
            <w:tcW w:w="1384" w:type="dxa"/>
            <w:vAlign w:val="center"/>
          </w:tcPr>
          <w:p w14:paraId="238849D3" w14:textId="77777777" w:rsidR="004E3D7E" w:rsidRPr="0087712A" w:rsidRDefault="004E3D7E">
            <w:pPr>
              <w:rPr>
                <w:rFonts w:ascii="Calibri" w:hAnsi="Calibri" w:cs="Calibri"/>
                <w:b/>
                <w:bCs/>
                <w:color w:val="4F81BD"/>
                <w:sz w:val="22"/>
                <w:szCs w:val="22"/>
                <w:lang w:eastAsia="el-GR"/>
              </w:rPr>
            </w:pPr>
            <w:r w:rsidRPr="0087712A">
              <w:rPr>
                <w:rFonts w:ascii="Calibri" w:hAnsi="Calibri" w:cs="Calibri"/>
                <w:b/>
                <w:bCs/>
                <w:color w:val="4F81BD"/>
                <w:sz w:val="22"/>
                <w:szCs w:val="22"/>
                <w:lang w:eastAsia="el-GR"/>
              </w:rPr>
              <w:t> </w:t>
            </w:r>
          </w:p>
        </w:tc>
      </w:tr>
      <w:tr w:rsidR="004E3D7E" w:rsidRPr="0087712A" w14:paraId="41F33533"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0D514FB8"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Fatalities</w:t>
            </w:r>
          </w:p>
        </w:tc>
        <w:tc>
          <w:tcPr>
            <w:tcW w:w="2667" w:type="dxa"/>
            <w:tcBorders>
              <w:top w:val="single" w:sz="4" w:space="0" w:color="auto"/>
              <w:left w:val="nil"/>
              <w:bottom w:val="single" w:sz="4" w:space="0" w:color="auto"/>
              <w:right w:val="nil"/>
            </w:tcBorders>
            <w:shd w:val="clear" w:color="auto" w:fill="auto"/>
            <w:vAlign w:val="center"/>
          </w:tcPr>
          <w:p w14:paraId="036BF919"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 </w:t>
            </w:r>
            <w:r w:rsidRPr="0087712A">
              <w:rPr>
                <w:rFonts w:ascii="Calibri" w:hAnsi="Calibri" w:cs="Calibri"/>
                <w:color w:val="000000"/>
                <w:sz w:val="22"/>
                <w:szCs w:val="22"/>
                <w:lang w:val="el-GR" w:eastAsia="el-GR"/>
              </w:rPr>
              <w:t>#</w:t>
            </w:r>
          </w:p>
        </w:tc>
        <w:tc>
          <w:tcPr>
            <w:tcW w:w="257" w:type="dxa"/>
            <w:vMerge w:val="restart"/>
            <w:tcBorders>
              <w:top w:val="nil"/>
              <w:left w:val="nil"/>
              <w:bottom w:val="nil"/>
              <w:right w:val="nil"/>
            </w:tcBorders>
            <w:vAlign w:val="center"/>
          </w:tcPr>
          <w:p w14:paraId="603FF0D9"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10079A9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w:t>
            </w:r>
          </w:p>
        </w:tc>
        <w:tc>
          <w:tcPr>
            <w:tcW w:w="238" w:type="dxa"/>
            <w:vMerge w:val="restart"/>
            <w:tcBorders>
              <w:top w:val="nil"/>
              <w:left w:val="nil"/>
              <w:bottom w:val="nil"/>
              <w:right w:val="nil"/>
            </w:tcBorders>
            <w:vAlign w:val="center"/>
          </w:tcPr>
          <w:p w14:paraId="0EC23999"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4C285289"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0</w:t>
            </w:r>
          </w:p>
        </w:tc>
      </w:tr>
      <w:tr w:rsidR="004E3D7E" w:rsidRPr="0087712A" w14:paraId="22A09D1C"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2A4CC0CB"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Employee Lost Time Injuries Frequency Rate (LTIFR)</w:t>
            </w:r>
          </w:p>
        </w:tc>
        <w:tc>
          <w:tcPr>
            <w:tcW w:w="2667" w:type="dxa"/>
            <w:tcBorders>
              <w:top w:val="single" w:sz="4" w:space="0" w:color="auto"/>
              <w:left w:val="nil"/>
              <w:bottom w:val="single" w:sz="4" w:space="0" w:color="auto"/>
              <w:right w:val="nil"/>
            </w:tcBorders>
            <w:shd w:val="clear" w:color="auto" w:fill="auto"/>
            <w:vAlign w:val="center"/>
          </w:tcPr>
          <w:p w14:paraId="5D8CE85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val="el-GR" w:eastAsia="el-GR"/>
              </w:rPr>
              <w:t>#/10</w:t>
            </w:r>
            <w:r w:rsidRPr="0087712A">
              <w:rPr>
                <w:rFonts w:ascii="Calibri" w:hAnsi="Calibri" w:cs="Calibri"/>
                <w:color w:val="000000"/>
                <w:sz w:val="22"/>
                <w:szCs w:val="22"/>
                <w:vertAlign w:val="superscript"/>
                <w:lang w:val="el-GR" w:eastAsia="el-GR"/>
              </w:rPr>
              <w:t>6</w:t>
            </w:r>
            <w:r w:rsidRPr="0087712A">
              <w:rPr>
                <w:rFonts w:ascii="Calibri" w:hAnsi="Calibri" w:cs="Calibri"/>
                <w:color w:val="000000"/>
                <w:sz w:val="22"/>
                <w:szCs w:val="22"/>
                <w:lang w:val="el-GR" w:eastAsia="el-GR"/>
              </w:rPr>
              <w:t xml:space="preserve"> h</w:t>
            </w:r>
          </w:p>
        </w:tc>
        <w:tc>
          <w:tcPr>
            <w:tcW w:w="257" w:type="dxa"/>
            <w:vMerge/>
            <w:tcBorders>
              <w:top w:val="nil"/>
              <w:left w:val="nil"/>
              <w:bottom w:val="nil"/>
              <w:right w:val="nil"/>
            </w:tcBorders>
            <w:vAlign w:val="center"/>
          </w:tcPr>
          <w:p w14:paraId="01BB0F9B"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00525C4B"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0.63</w:t>
            </w:r>
          </w:p>
        </w:tc>
        <w:tc>
          <w:tcPr>
            <w:tcW w:w="238" w:type="dxa"/>
            <w:vMerge/>
            <w:tcBorders>
              <w:top w:val="nil"/>
              <w:left w:val="nil"/>
              <w:bottom w:val="nil"/>
              <w:right w:val="nil"/>
            </w:tcBorders>
            <w:vAlign w:val="center"/>
          </w:tcPr>
          <w:p w14:paraId="72AB5873"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326D3540"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0.91</w:t>
            </w:r>
          </w:p>
        </w:tc>
      </w:tr>
      <w:tr w:rsidR="004E3D7E" w:rsidRPr="0087712A" w14:paraId="696EBFD2"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06B8123E"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Wellbeing initiatives</w:t>
            </w:r>
            <w:r w:rsidRPr="0087712A">
              <w:rPr>
                <w:rFonts w:ascii="Calibri" w:hAnsi="Calibri" w:cs="Calibri"/>
                <w:color w:val="000000"/>
                <w:sz w:val="22"/>
                <w:szCs w:val="22"/>
                <w:vertAlign w:val="superscript"/>
                <w:lang w:eastAsia="el-GR"/>
              </w:rPr>
              <w:t>1</w:t>
            </w:r>
          </w:p>
        </w:tc>
        <w:tc>
          <w:tcPr>
            <w:tcW w:w="2667" w:type="dxa"/>
            <w:tcBorders>
              <w:top w:val="single" w:sz="4" w:space="0" w:color="auto"/>
              <w:left w:val="nil"/>
              <w:bottom w:val="single" w:sz="4" w:space="0" w:color="auto"/>
              <w:right w:val="nil"/>
            </w:tcBorders>
            <w:shd w:val="clear" w:color="auto" w:fill="auto"/>
            <w:vAlign w:val="center"/>
          </w:tcPr>
          <w:p w14:paraId="5EA08A8C"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4FEFF546"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43A1652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366</w:t>
            </w:r>
          </w:p>
        </w:tc>
        <w:tc>
          <w:tcPr>
            <w:tcW w:w="238" w:type="dxa"/>
            <w:vMerge/>
            <w:tcBorders>
              <w:top w:val="nil"/>
              <w:left w:val="nil"/>
              <w:bottom w:val="nil"/>
              <w:right w:val="nil"/>
            </w:tcBorders>
            <w:vAlign w:val="center"/>
          </w:tcPr>
          <w:p w14:paraId="21B28A7F"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5977F13E"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129</w:t>
            </w:r>
          </w:p>
        </w:tc>
      </w:tr>
      <w:tr w:rsidR="004E3D7E" w:rsidRPr="0087712A" w14:paraId="5311CB32"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58C1D57F"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Share of women in management</w:t>
            </w:r>
          </w:p>
        </w:tc>
        <w:tc>
          <w:tcPr>
            <w:tcW w:w="2667" w:type="dxa"/>
            <w:tcBorders>
              <w:top w:val="single" w:sz="4" w:space="0" w:color="auto"/>
              <w:left w:val="nil"/>
              <w:bottom w:val="single" w:sz="4" w:space="0" w:color="auto"/>
              <w:right w:val="nil"/>
            </w:tcBorders>
            <w:shd w:val="clear" w:color="auto" w:fill="auto"/>
            <w:vAlign w:val="center"/>
          </w:tcPr>
          <w:p w14:paraId="1F284CCB"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6816D18C"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4E71E4D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19.4</w:t>
            </w:r>
          </w:p>
        </w:tc>
        <w:tc>
          <w:tcPr>
            <w:tcW w:w="238" w:type="dxa"/>
            <w:vMerge/>
            <w:tcBorders>
              <w:top w:val="nil"/>
              <w:left w:val="nil"/>
              <w:bottom w:val="nil"/>
              <w:right w:val="nil"/>
            </w:tcBorders>
            <w:vAlign w:val="center"/>
          </w:tcPr>
          <w:p w14:paraId="0264E50D"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73B3C82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17.6</w:t>
            </w:r>
          </w:p>
        </w:tc>
      </w:tr>
      <w:tr w:rsidR="004E3D7E" w:rsidRPr="0087712A" w14:paraId="73A6D44A"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6CAD1DE5"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Share of women in new hires</w:t>
            </w:r>
          </w:p>
        </w:tc>
        <w:tc>
          <w:tcPr>
            <w:tcW w:w="2667" w:type="dxa"/>
            <w:tcBorders>
              <w:top w:val="single" w:sz="4" w:space="0" w:color="auto"/>
              <w:left w:val="nil"/>
              <w:bottom w:val="single" w:sz="4" w:space="0" w:color="auto"/>
              <w:right w:val="nil"/>
            </w:tcBorders>
            <w:shd w:val="clear" w:color="auto" w:fill="auto"/>
            <w:vAlign w:val="center"/>
          </w:tcPr>
          <w:p w14:paraId="4860C72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43C467C0"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60CD0904"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16.6</w:t>
            </w:r>
          </w:p>
        </w:tc>
        <w:tc>
          <w:tcPr>
            <w:tcW w:w="238" w:type="dxa"/>
            <w:vMerge/>
            <w:tcBorders>
              <w:top w:val="nil"/>
              <w:left w:val="nil"/>
              <w:bottom w:val="nil"/>
              <w:right w:val="nil"/>
            </w:tcBorders>
            <w:vAlign w:val="center"/>
          </w:tcPr>
          <w:p w14:paraId="34DFB73F"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0585A8BB"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17.2</w:t>
            </w:r>
          </w:p>
        </w:tc>
      </w:tr>
      <w:tr w:rsidR="004E3D7E" w:rsidRPr="0087712A" w14:paraId="344E9A59" w14:textId="77777777">
        <w:trPr>
          <w:gridAfter w:val="1"/>
          <w:wAfter w:w="1384" w:type="dxa"/>
          <w:trHeight w:val="257"/>
        </w:trPr>
        <w:tc>
          <w:tcPr>
            <w:tcW w:w="3828" w:type="dxa"/>
            <w:tcBorders>
              <w:top w:val="single" w:sz="4" w:space="0" w:color="auto"/>
              <w:left w:val="nil"/>
              <w:bottom w:val="single" w:sz="4" w:space="0" w:color="auto"/>
              <w:right w:val="nil"/>
            </w:tcBorders>
            <w:shd w:val="clear" w:color="auto" w:fill="auto"/>
            <w:noWrap/>
            <w:vAlign w:val="center"/>
          </w:tcPr>
          <w:p w14:paraId="622B0A39"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Average training hours per employee</w:t>
            </w:r>
          </w:p>
        </w:tc>
        <w:tc>
          <w:tcPr>
            <w:tcW w:w="2667" w:type="dxa"/>
            <w:tcBorders>
              <w:top w:val="single" w:sz="4" w:space="0" w:color="auto"/>
              <w:left w:val="nil"/>
              <w:bottom w:val="single" w:sz="4" w:space="0" w:color="auto"/>
              <w:right w:val="nil"/>
            </w:tcBorders>
            <w:shd w:val="clear" w:color="auto" w:fill="auto"/>
            <w:vAlign w:val="center"/>
          </w:tcPr>
          <w:p w14:paraId="283429EA"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h/employee</w:t>
            </w:r>
          </w:p>
        </w:tc>
        <w:tc>
          <w:tcPr>
            <w:tcW w:w="257" w:type="dxa"/>
            <w:vMerge/>
            <w:tcBorders>
              <w:top w:val="nil"/>
              <w:left w:val="nil"/>
              <w:bottom w:val="nil"/>
              <w:right w:val="nil"/>
            </w:tcBorders>
            <w:vAlign w:val="center"/>
          </w:tcPr>
          <w:p w14:paraId="7438BD7D" w14:textId="77777777" w:rsidR="004E3D7E" w:rsidRPr="0087712A" w:rsidRDefault="004E3D7E">
            <w:pPr>
              <w:rPr>
                <w:rFonts w:ascii="Calibri" w:hAnsi="Calibri" w:cs="Calibri"/>
                <w:color w:val="000000"/>
                <w:sz w:val="22"/>
                <w:szCs w:val="22"/>
                <w:lang w:eastAsia="el-GR"/>
              </w:rPr>
            </w:pPr>
          </w:p>
        </w:tc>
        <w:tc>
          <w:tcPr>
            <w:tcW w:w="1382" w:type="dxa"/>
            <w:tcBorders>
              <w:top w:val="single" w:sz="4" w:space="0" w:color="auto"/>
              <w:left w:val="nil"/>
              <w:bottom w:val="single" w:sz="4" w:space="0" w:color="auto"/>
              <w:right w:val="nil"/>
            </w:tcBorders>
            <w:shd w:val="clear" w:color="000000" w:fill="F2F2F2"/>
            <w:noWrap/>
            <w:vAlign w:val="center"/>
          </w:tcPr>
          <w:p w14:paraId="3FCA4930"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22.7</w:t>
            </w:r>
          </w:p>
        </w:tc>
        <w:tc>
          <w:tcPr>
            <w:tcW w:w="238" w:type="dxa"/>
            <w:vMerge/>
            <w:tcBorders>
              <w:top w:val="nil"/>
              <w:left w:val="nil"/>
              <w:bottom w:val="nil"/>
              <w:right w:val="nil"/>
            </w:tcBorders>
            <w:vAlign w:val="center"/>
          </w:tcPr>
          <w:p w14:paraId="4E669C1D" w14:textId="77777777" w:rsidR="004E3D7E" w:rsidRPr="0087712A" w:rsidRDefault="004E3D7E">
            <w:pPr>
              <w:rPr>
                <w:rFonts w:ascii="Calibri" w:hAnsi="Calibri" w:cs="Calibri"/>
                <w:color w:val="000000"/>
                <w:sz w:val="22"/>
                <w:szCs w:val="22"/>
                <w:lang w:eastAsia="el-GR"/>
              </w:rPr>
            </w:pPr>
          </w:p>
        </w:tc>
        <w:tc>
          <w:tcPr>
            <w:tcW w:w="1280" w:type="dxa"/>
            <w:tcBorders>
              <w:top w:val="single" w:sz="4" w:space="0" w:color="auto"/>
              <w:left w:val="nil"/>
              <w:bottom w:val="single" w:sz="4" w:space="0" w:color="auto"/>
              <w:right w:val="nil"/>
            </w:tcBorders>
            <w:shd w:val="clear" w:color="auto" w:fill="auto"/>
            <w:noWrap/>
            <w:vAlign w:val="center"/>
          </w:tcPr>
          <w:p w14:paraId="517FF10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20.4</w:t>
            </w:r>
          </w:p>
        </w:tc>
      </w:tr>
      <w:tr w:rsidR="004E3D7E" w:rsidRPr="0087712A" w14:paraId="34D22276" w14:textId="77777777">
        <w:trPr>
          <w:gridAfter w:val="1"/>
          <w:wAfter w:w="1384" w:type="dxa"/>
          <w:trHeight w:val="317"/>
        </w:trPr>
        <w:tc>
          <w:tcPr>
            <w:tcW w:w="3828" w:type="dxa"/>
            <w:tcBorders>
              <w:top w:val="nil"/>
              <w:left w:val="nil"/>
              <w:bottom w:val="single" w:sz="12" w:space="0" w:color="2683C6" w:themeColor="accent2"/>
              <w:right w:val="nil"/>
            </w:tcBorders>
            <w:shd w:val="clear" w:color="auto" w:fill="auto"/>
            <w:noWrap/>
            <w:vAlign w:val="center"/>
            <w:hideMark/>
          </w:tcPr>
          <w:p w14:paraId="46840506" w14:textId="77777777" w:rsidR="004E3D7E" w:rsidRPr="0087712A" w:rsidRDefault="004E3D7E">
            <w:pPr>
              <w:jc w:val="both"/>
              <w:rPr>
                <w:rFonts w:ascii="Calibri" w:hAnsi="Calibri" w:cs="Calibri"/>
                <w:b/>
                <w:bCs/>
                <w:color w:val="4F81BD"/>
                <w:sz w:val="22"/>
                <w:szCs w:val="22"/>
                <w:lang w:eastAsia="el-GR"/>
              </w:rPr>
            </w:pPr>
            <w:r w:rsidRPr="0087712A">
              <w:rPr>
                <w:rFonts w:ascii="Calibri" w:hAnsi="Calibri" w:cs="Calibri"/>
                <w:b/>
                <w:bCs/>
                <w:color w:val="4F81BD"/>
                <w:sz w:val="22"/>
                <w:szCs w:val="22"/>
                <w:lang w:eastAsia="el-GR"/>
              </w:rPr>
              <w:t>Positive local impact</w:t>
            </w:r>
          </w:p>
        </w:tc>
        <w:tc>
          <w:tcPr>
            <w:tcW w:w="2667" w:type="dxa"/>
            <w:tcBorders>
              <w:top w:val="nil"/>
              <w:left w:val="nil"/>
              <w:bottom w:val="single" w:sz="12" w:space="0" w:color="2683C6" w:themeColor="accent2"/>
              <w:right w:val="nil"/>
            </w:tcBorders>
            <w:shd w:val="clear" w:color="auto" w:fill="auto"/>
            <w:vAlign w:val="center"/>
            <w:hideMark/>
          </w:tcPr>
          <w:p w14:paraId="51C195F7" w14:textId="77777777" w:rsidR="004E3D7E" w:rsidRPr="0087712A" w:rsidRDefault="004E3D7E">
            <w:pPr>
              <w:jc w:val="both"/>
              <w:rPr>
                <w:rFonts w:ascii="Calibri" w:hAnsi="Calibri" w:cs="Calibri"/>
                <w:b/>
                <w:bCs/>
                <w:color w:val="4F81BD"/>
                <w:sz w:val="22"/>
                <w:szCs w:val="22"/>
                <w:lang w:eastAsia="el-GR"/>
              </w:rPr>
            </w:pPr>
          </w:p>
        </w:tc>
        <w:tc>
          <w:tcPr>
            <w:tcW w:w="257" w:type="dxa"/>
            <w:vMerge w:val="restart"/>
            <w:tcBorders>
              <w:top w:val="nil"/>
              <w:left w:val="nil"/>
              <w:bottom w:val="single" w:sz="12" w:space="0" w:color="2683C6" w:themeColor="accent2"/>
              <w:right w:val="nil"/>
            </w:tcBorders>
            <w:vAlign w:val="center"/>
            <w:hideMark/>
          </w:tcPr>
          <w:p w14:paraId="0AA2F5F5"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12" w:space="0" w:color="2683C6" w:themeColor="accent2"/>
              <w:right w:val="nil"/>
            </w:tcBorders>
            <w:shd w:val="clear" w:color="000000" w:fill="FFFFFF"/>
            <w:noWrap/>
            <w:vAlign w:val="center"/>
          </w:tcPr>
          <w:p w14:paraId="28C26796" w14:textId="77777777" w:rsidR="004E3D7E" w:rsidRPr="0087712A" w:rsidRDefault="004E3D7E">
            <w:pPr>
              <w:jc w:val="right"/>
              <w:rPr>
                <w:rFonts w:ascii="Calibri" w:hAnsi="Calibri" w:cs="Calibri"/>
                <w:color w:val="000000"/>
                <w:sz w:val="22"/>
                <w:szCs w:val="22"/>
                <w:lang w:eastAsia="el-GR"/>
              </w:rPr>
            </w:pPr>
          </w:p>
        </w:tc>
        <w:tc>
          <w:tcPr>
            <w:tcW w:w="238" w:type="dxa"/>
            <w:vMerge w:val="restart"/>
            <w:tcBorders>
              <w:top w:val="nil"/>
              <w:left w:val="nil"/>
              <w:bottom w:val="single" w:sz="12" w:space="0" w:color="2683C6" w:themeColor="accent2"/>
              <w:right w:val="nil"/>
            </w:tcBorders>
            <w:vAlign w:val="center"/>
            <w:hideMark/>
          </w:tcPr>
          <w:p w14:paraId="450CA615"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12" w:space="0" w:color="2683C6" w:themeColor="accent2"/>
              <w:right w:val="nil"/>
            </w:tcBorders>
            <w:shd w:val="clear" w:color="auto" w:fill="auto"/>
            <w:noWrap/>
            <w:vAlign w:val="center"/>
          </w:tcPr>
          <w:p w14:paraId="114C3D2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 </w:t>
            </w:r>
          </w:p>
        </w:tc>
      </w:tr>
      <w:tr w:rsidR="004E3D7E" w:rsidRPr="0087712A" w14:paraId="66D575CC" w14:textId="77777777">
        <w:trPr>
          <w:gridAfter w:val="1"/>
          <w:wAfter w:w="1384" w:type="dxa"/>
          <w:trHeight w:val="257"/>
        </w:trPr>
        <w:tc>
          <w:tcPr>
            <w:tcW w:w="3828" w:type="dxa"/>
            <w:tcBorders>
              <w:top w:val="single" w:sz="12" w:space="0" w:color="2683C6" w:themeColor="accent2"/>
              <w:left w:val="nil"/>
              <w:bottom w:val="single" w:sz="4" w:space="0" w:color="auto"/>
              <w:right w:val="nil"/>
            </w:tcBorders>
            <w:shd w:val="clear" w:color="auto" w:fill="auto"/>
            <w:noWrap/>
            <w:vAlign w:val="center"/>
            <w:hideMark/>
          </w:tcPr>
          <w:p w14:paraId="7C80CBED" w14:textId="77777777" w:rsidR="004E3D7E" w:rsidRPr="0087712A" w:rsidRDefault="004E3D7E">
            <w:pPr>
              <w:rPr>
                <w:rFonts w:ascii="Calibri" w:hAnsi="Calibri" w:cs="Calibri"/>
                <w:color w:val="000000"/>
                <w:sz w:val="22"/>
                <w:szCs w:val="22"/>
                <w:lang w:val="el-GR" w:eastAsia="el-GR"/>
              </w:rPr>
            </w:pPr>
            <w:r w:rsidRPr="0087712A">
              <w:rPr>
                <w:rFonts w:ascii="Calibri" w:hAnsi="Calibri" w:cs="Calibri"/>
                <w:color w:val="000000"/>
                <w:sz w:val="22"/>
                <w:szCs w:val="22"/>
                <w:lang w:eastAsia="el-GR"/>
              </w:rPr>
              <w:t>D</w:t>
            </w:r>
            <w:proofErr w:type="spellStart"/>
            <w:r w:rsidRPr="0087712A">
              <w:rPr>
                <w:rFonts w:ascii="Calibri" w:hAnsi="Calibri" w:cs="Calibri"/>
                <w:color w:val="000000"/>
                <w:sz w:val="22"/>
                <w:szCs w:val="22"/>
                <w:lang w:val="el-GR" w:eastAsia="el-GR"/>
              </w:rPr>
              <w:t>ust</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emissions</w:t>
            </w:r>
            <w:proofErr w:type="spellEnd"/>
          </w:p>
        </w:tc>
        <w:tc>
          <w:tcPr>
            <w:tcW w:w="2667" w:type="dxa"/>
            <w:tcBorders>
              <w:top w:val="single" w:sz="12" w:space="0" w:color="2683C6" w:themeColor="accent2"/>
              <w:left w:val="nil"/>
              <w:bottom w:val="single" w:sz="4" w:space="0" w:color="auto"/>
              <w:right w:val="nil"/>
            </w:tcBorders>
            <w:shd w:val="clear" w:color="auto" w:fill="auto"/>
            <w:vAlign w:val="center"/>
            <w:hideMark/>
          </w:tcPr>
          <w:p w14:paraId="741C32BD"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val="el-GR" w:eastAsia="el-GR"/>
              </w:rPr>
              <w:t>g/t</w:t>
            </w:r>
            <w:r w:rsidRPr="0087712A">
              <w:rPr>
                <w:rFonts w:ascii="Calibri" w:hAnsi="Calibri" w:cs="Calibri"/>
                <w:color w:val="000000"/>
                <w:sz w:val="22"/>
                <w:szCs w:val="22"/>
                <w:lang w:eastAsia="el-GR"/>
              </w:rPr>
              <w:t xml:space="preserve"> c</w:t>
            </w:r>
            <w:proofErr w:type="spellStart"/>
            <w:r w:rsidRPr="0087712A">
              <w:rPr>
                <w:rFonts w:ascii="Calibri" w:hAnsi="Calibri" w:cs="Calibri"/>
                <w:color w:val="000000"/>
                <w:sz w:val="22"/>
                <w:szCs w:val="22"/>
                <w:lang w:val="el-GR" w:eastAsia="el-GR"/>
              </w:rPr>
              <w:t>linker</w:t>
            </w:r>
            <w:proofErr w:type="spellEnd"/>
          </w:p>
        </w:tc>
        <w:tc>
          <w:tcPr>
            <w:tcW w:w="257" w:type="dxa"/>
            <w:vMerge/>
            <w:tcBorders>
              <w:top w:val="single" w:sz="12" w:space="0" w:color="2683C6" w:themeColor="accent2"/>
              <w:left w:val="nil"/>
              <w:bottom w:val="nil"/>
              <w:right w:val="nil"/>
            </w:tcBorders>
            <w:vAlign w:val="center"/>
            <w:hideMark/>
          </w:tcPr>
          <w:p w14:paraId="78D36F5F" w14:textId="77777777" w:rsidR="004E3D7E" w:rsidRPr="0087712A" w:rsidRDefault="004E3D7E">
            <w:pPr>
              <w:rPr>
                <w:rFonts w:ascii="Calibri" w:hAnsi="Calibri" w:cs="Calibri"/>
                <w:color w:val="000000"/>
                <w:sz w:val="22"/>
                <w:szCs w:val="22"/>
                <w:lang w:val="el-GR" w:eastAsia="el-GR"/>
              </w:rPr>
            </w:pPr>
          </w:p>
        </w:tc>
        <w:tc>
          <w:tcPr>
            <w:tcW w:w="1382" w:type="dxa"/>
            <w:tcBorders>
              <w:top w:val="single" w:sz="12" w:space="0" w:color="2683C6" w:themeColor="accent2"/>
              <w:left w:val="nil"/>
              <w:bottom w:val="single" w:sz="4" w:space="0" w:color="auto"/>
              <w:right w:val="nil"/>
            </w:tcBorders>
            <w:shd w:val="clear" w:color="000000" w:fill="F2F2F2"/>
            <w:noWrap/>
            <w:vAlign w:val="center"/>
          </w:tcPr>
          <w:p w14:paraId="6264934F"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21.7</w:t>
            </w:r>
          </w:p>
        </w:tc>
        <w:tc>
          <w:tcPr>
            <w:tcW w:w="238" w:type="dxa"/>
            <w:vMerge/>
            <w:tcBorders>
              <w:top w:val="single" w:sz="12" w:space="0" w:color="2683C6" w:themeColor="accent2"/>
              <w:left w:val="nil"/>
              <w:bottom w:val="nil"/>
              <w:right w:val="nil"/>
            </w:tcBorders>
            <w:vAlign w:val="center"/>
            <w:hideMark/>
          </w:tcPr>
          <w:p w14:paraId="47742B05" w14:textId="77777777" w:rsidR="004E3D7E" w:rsidRPr="0087712A" w:rsidRDefault="004E3D7E">
            <w:pPr>
              <w:rPr>
                <w:rFonts w:ascii="Calibri" w:hAnsi="Calibri" w:cs="Calibri"/>
                <w:color w:val="000000"/>
                <w:sz w:val="22"/>
                <w:szCs w:val="22"/>
                <w:lang w:val="el-GR" w:eastAsia="el-GR"/>
              </w:rPr>
            </w:pPr>
          </w:p>
        </w:tc>
        <w:tc>
          <w:tcPr>
            <w:tcW w:w="1280" w:type="dxa"/>
            <w:tcBorders>
              <w:top w:val="single" w:sz="12" w:space="0" w:color="2683C6" w:themeColor="accent2"/>
              <w:left w:val="nil"/>
              <w:bottom w:val="single" w:sz="4" w:space="0" w:color="auto"/>
              <w:right w:val="nil"/>
            </w:tcBorders>
            <w:shd w:val="clear" w:color="auto" w:fill="auto"/>
            <w:noWrap/>
            <w:vAlign w:val="center"/>
          </w:tcPr>
          <w:p w14:paraId="4EA3392E"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16.6</w:t>
            </w:r>
          </w:p>
        </w:tc>
      </w:tr>
      <w:tr w:rsidR="004E3D7E" w:rsidRPr="0087712A" w14:paraId="4F716EAA"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hideMark/>
          </w:tcPr>
          <w:p w14:paraId="2614F604" w14:textId="77777777" w:rsidR="004E3D7E" w:rsidRPr="0087712A" w:rsidRDefault="004E3D7E">
            <w:pPr>
              <w:rPr>
                <w:rFonts w:ascii="Calibri" w:hAnsi="Calibri" w:cs="Calibri"/>
                <w:color w:val="000000"/>
                <w:sz w:val="22"/>
                <w:szCs w:val="22"/>
                <w:lang w:val="el-GR" w:eastAsia="el-GR"/>
              </w:rPr>
            </w:pPr>
            <w:proofErr w:type="spellStart"/>
            <w:r w:rsidRPr="0087712A">
              <w:rPr>
                <w:rFonts w:ascii="Calibri" w:hAnsi="Calibri" w:cs="Calibri"/>
                <w:color w:val="000000"/>
                <w:sz w:val="22"/>
                <w:szCs w:val="22"/>
                <w:lang w:val="el-GR" w:eastAsia="el-GR"/>
              </w:rPr>
              <w:t>NOx</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emissions</w:t>
            </w:r>
            <w:proofErr w:type="spellEnd"/>
          </w:p>
        </w:tc>
        <w:tc>
          <w:tcPr>
            <w:tcW w:w="2667" w:type="dxa"/>
            <w:tcBorders>
              <w:top w:val="nil"/>
              <w:left w:val="nil"/>
              <w:bottom w:val="single" w:sz="4" w:space="0" w:color="auto"/>
              <w:right w:val="nil"/>
            </w:tcBorders>
            <w:shd w:val="clear" w:color="auto" w:fill="auto"/>
            <w:vAlign w:val="center"/>
            <w:hideMark/>
          </w:tcPr>
          <w:p w14:paraId="0D2EC84E"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val="el-GR" w:eastAsia="el-GR"/>
              </w:rPr>
              <w:t>g/t</w:t>
            </w:r>
            <w:r w:rsidRPr="0087712A">
              <w:rPr>
                <w:rFonts w:ascii="Calibri" w:hAnsi="Calibri" w:cs="Calibri"/>
                <w:color w:val="000000"/>
                <w:sz w:val="22"/>
                <w:szCs w:val="22"/>
                <w:lang w:eastAsia="el-GR"/>
              </w:rPr>
              <w:t xml:space="preserve"> c</w:t>
            </w:r>
            <w:proofErr w:type="spellStart"/>
            <w:r w:rsidRPr="0087712A">
              <w:rPr>
                <w:rFonts w:ascii="Calibri" w:hAnsi="Calibri" w:cs="Calibri"/>
                <w:color w:val="000000"/>
                <w:sz w:val="22"/>
                <w:szCs w:val="22"/>
                <w:lang w:val="el-GR" w:eastAsia="el-GR"/>
              </w:rPr>
              <w:t>linker</w:t>
            </w:r>
            <w:proofErr w:type="spellEnd"/>
          </w:p>
        </w:tc>
        <w:tc>
          <w:tcPr>
            <w:tcW w:w="257" w:type="dxa"/>
            <w:vMerge/>
            <w:tcBorders>
              <w:top w:val="nil"/>
              <w:left w:val="nil"/>
              <w:bottom w:val="nil"/>
              <w:right w:val="nil"/>
            </w:tcBorders>
            <w:vAlign w:val="center"/>
            <w:hideMark/>
          </w:tcPr>
          <w:p w14:paraId="56C70B70" w14:textId="77777777" w:rsidR="004E3D7E" w:rsidRPr="0087712A" w:rsidRDefault="004E3D7E">
            <w:pPr>
              <w:rPr>
                <w:rFonts w:ascii="Calibri" w:hAnsi="Calibri" w:cs="Calibri"/>
                <w:color w:val="000000"/>
                <w:sz w:val="22"/>
                <w:szCs w:val="22"/>
                <w:lang w:val="el-GR" w:eastAsia="el-GR"/>
              </w:rPr>
            </w:pPr>
          </w:p>
        </w:tc>
        <w:tc>
          <w:tcPr>
            <w:tcW w:w="1382" w:type="dxa"/>
            <w:tcBorders>
              <w:top w:val="nil"/>
              <w:left w:val="nil"/>
              <w:bottom w:val="single" w:sz="4" w:space="0" w:color="auto"/>
              <w:right w:val="nil"/>
            </w:tcBorders>
            <w:shd w:val="clear" w:color="000000" w:fill="F2F2F2"/>
            <w:noWrap/>
            <w:vAlign w:val="center"/>
          </w:tcPr>
          <w:p w14:paraId="2D0E9CE2"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1,251</w:t>
            </w:r>
          </w:p>
        </w:tc>
        <w:tc>
          <w:tcPr>
            <w:tcW w:w="238" w:type="dxa"/>
            <w:vMerge/>
            <w:tcBorders>
              <w:top w:val="nil"/>
              <w:left w:val="nil"/>
              <w:bottom w:val="nil"/>
              <w:right w:val="nil"/>
            </w:tcBorders>
            <w:vAlign w:val="center"/>
            <w:hideMark/>
          </w:tcPr>
          <w:p w14:paraId="24A551BC"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4" w:space="0" w:color="auto"/>
              <w:right w:val="nil"/>
            </w:tcBorders>
            <w:shd w:val="clear" w:color="auto" w:fill="auto"/>
            <w:noWrap/>
            <w:vAlign w:val="center"/>
          </w:tcPr>
          <w:p w14:paraId="753D65A5"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eastAsia="el-GR"/>
              </w:rPr>
              <w:t>1,263</w:t>
            </w:r>
          </w:p>
        </w:tc>
      </w:tr>
      <w:tr w:rsidR="004E3D7E" w:rsidRPr="0087712A" w14:paraId="1F4B1A6F"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4DAF562F" w14:textId="77777777" w:rsidR="004E3D7E" w:rsidRPr="0087712A" w:rsidRDefault="004E3D7E">
            <w:pPr>
              <w:rPr>
                <w:rFonts w:ascii="Calibri" w:hAnsi="Calibri" w:cs="Calibri"/>
                <w:color w:val="000000"/>
                <w:sz w:val="22"/>
                <w:szCs w:val="22"/>
                <w:lang w:val="el-GR" w:eastAsia="el-GR"/>
              </w:rPr>
            </w:pPr>
            <w:proofErr w:type="spellStart"/>
            <w:r w:rsidRPr="0087712A">
              <w:rPr>
                <w:rFonts w:ascii="Calibri" w:hAnsi="Calibri" w:cs="Calibri"/>
                <w:color w:val="000000"/>
                <w:sz w:val="22"/>
                <w:szCs w:val="22"/>
                <w:lang w:val="el-GR" w:eastAsia="el-GR"/>
              </w:rPr>
              <w:t>SOx</w:t>
            </w:r>
            <w:proofErr w:type="spellEnd"/>
            <w:r w:rsidRPr="0087712A">
              <w:rPr>
                <w:rFonts w:ascii="Calibri" w:hAnsi="Calibri" w:cs="Calibri"/>
                <w:color w:val="000000"/>
                <w:sz w:val="22"/>
                <w:szCs w:val="22"/>
                <w:lang w:val="el-GR" w:eastAsia="el-GR"/>
              </w:rPr>
              <w:t xml:space="preserve"> </w:t>
            </w:r>
            <w:proofErr w:type="spellStart"/>
            <w:r w:rsidRPr="0087712A">
              <w:rPr>
                <w:rFonts w:ascii="Calibri" w:hAnsi="Calibri" w:cs="Calibri"/>
                <w:color w:val="000000"/>
                <w:sz w:val="22"/>
                <w:szCs w:val="22"/>
                <w:lang w:val="el-GR" w:eastAsia="el-GR"/>
              </w:rPr>
              <w:t>emissions</w:t>
            </w:r>
            <w:proofErr w:type="spellEnd"/>
          </w:p>
        </w:tc>
        <w:tc>
          <w:tcPr>
            <w:tcW w:w="2667" w:type="dxa"/>
            <w:tcBorders>
              <w:top w:val="nil"/>
              <w:left w:val="nil"/>
              <w:bottom w:val="single" w:sz="4" w:space="0" w:color="auto"/>
              <w:right w:val="nil"/>
            </w:tcBorders>
            <w:shd w:val="clear" w:color="auto" w:fill="auto"/>
            <w:vAlign w:val="center"/>
          </w:tcPr>
          <w:p w14:paraId="5A8A2E87"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val="el-GR" w:eastAsia="el-GR"/>
              </w:rPr>
              <w:t>g/t</w:t>
            </w:r>
            <w:r w:rsidRPr="0087712A">
              <w:rPr>
                <w:rFonts w:ascii="Calibri" w:hAnsi="Calibri" w:cs="Calibri"/>
                <w:color w:val="000000"/>
                <w:sz w:val="22"/>
                <w:szCs w:val="22"/>
                <w:lang w:eastAsia="el-GR"/>
              </w:rPr>
              <w:t xml:space="preserve"> c</w:t>
            </w:r>
            <w:proofErr w:type="spellStart"/>
            <w:r w:rsidRPr="0087712A">
              <w:rPr>
                <w:rFonts w:ascii="Calibri" w:hAnsi="Calibri" w:cs="Calibri"/>
                <w:color w:val="000000"/>
                <w:sz w:val="22"/>
                <w:szCs w:val="22"/>
                <w:lang w:val="el-GR" w:eastAsia="el-GR"/>
              </w:rPr>
              <w:t>linker</w:t>
            </w:r>
            <w:proofErr w:type="spellEnd"/>
          </w:p>
        </w:tc>
        <w:tc>
          <w:tcPr>
            <w:tcW w:w="257" w:type="dxa"/>
            <w:vMerge/>
            <w:tcBorders>
              <w:top w:val="nil"/>
              <w:left w:val="nil"/>
              <w:bottom w:val="nil"/>
              <w:right w:val="nil"/>
            </w:tcBorders>
            <w:vAlign w:val="center"/>
          </w:tcPr>
          <w:p w14:paraId="0227C8A3" w14:textId="77777777" w:rsidR="004E3D7E" w:rsidRPr="0087712A" w:rsidRDefault="004E3D7E">
            <w:pPr>
              <w:rPr>
                <w:rFonts w:ascii="Calibri" w:hAnsi="Calibri" w:cs="Calibri"/>
                <w:color w:val="000000"/>
                <w:sz w:val="22"/>
                <w:szCs w:val="22"/>
                <w:lang w:val="el-GR" w:eastAsia="el-GR"/>
              </w:rPr>
            </w:pPr>
          </w:p>
        </w:tc>
        <w:tc>
          <w:tcPr>
            <w:tcW w:w="1382" w:type="dxa"/>
            <w:tcBorders>
              <w:top w:val="nil"/>
              <w:left w:val="nil"/>
              <w:bottom w:val="single" w:sz="4" w:space="0" w:color="auto"/>
              <w:right w:val="nil"/>
            </w:tcBorders>
            <w:shd w:val="clear" w:color="000000" w:fill="F2F2F2"/>
            <w:noWrap/>
            <w:vAlign w:val="center"/>
          </w:tcPr>
          <w:p w14:paraId="4B48D5A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257.4</w:t>
            </w:r>
          </w:p>
        </w:tc>
        <w:tc>
          <w:tcPr>
            <w:tcW w:w="238" w:type="dxa"/>
            <w:vMerge/>
            <w:tcBorders>
              <w:top w:val="nil"/>
              <w:left w:val="nil"/>
              <w:bottom w:val="nil"/>
              <w:right w:val="nil"/>
            </w:tcBorders>
            <w:vAlign w:val="center"/>
          </w:tcPr>
          <w:p w14:paraId="4439499A"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4" w:space="0" w:color="auto"/>
              <w:right w:val="nil"/>
            </w:tcBorders>
            <w:shd w:val="clear" w:color="auto" w:fill="auto"/>
            <w:noWrap/>
            <w:vAlign w:val="center"/>
          </w:tcPr>
          <w:p w14:paraId="64C972EF"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eastAsia="el-GR"/>
              </w:rPr>
              <w:t>245.0</w:t>
            </w:r>
          </w:p>
        </w:tc>
      </w:tr>
      <w:tr w:rsidR="004E3D7E" w:rsidRPr="0087712A" w14:paraId="39305895"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1F41E579"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Quarries with biodiversity management plans</w:t>
            </w:r>
          </w:p>
        </w:tc>
        <w:tc>
          <w:tcPr>
            <w:tcW w:w="2667" w:type="dxa"/>
            <w:tcBorders>
              <w:top w:val="nil"/>
              <w:left w:val="nil"/>
              <w:bottom w:val="single" w:sz="4" w:space="0" w:color="auto"/>
              <w:right w:val="nil"/>
            </w:tcBorders>
            <w:shd w:val="clear" w:color="auto" w:fill="auto"/>
            <w:vAlign w:val="center"/>
          </w:tcPr>
          <w:p w14:paraId="3E0D21EF"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18DB9289"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3A915AE6"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83</w:t>
            </w:r>
          </w:p>
        </w:tc>
        <w:tc>
          <w:tcPr>
            <w:tcW w:w="238" w:type="dxa"/>
            <w:vMerge/>
            <w:tcBorders>
              <w:top w:val="nil"/>
              <w:left w:val="nil"/>
              <w:bottom w:val="nil"/>
              <w:right w:val="nil"/>
            </w:tcBorders>
            <w:vAlign w:val="center"/>
          </w:tcPr>
          <w:p w14:paraId="75590E2E"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7481F8B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83</w:t>
            </w:r>
          </w:p>
        </w:tc>
      </w:tr>
      <w:tr w:rsidR="004E3D7E" w:rsidRPr="0087712A" w14:paraId="448E0FBD"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0EC31197"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 xml:space="preserve">Total number of Community Initiatives </w:t>
            </w:r>
            <w:r w:rsidRPr="0087712A">
              <w:rPr>
                <w:rFonts w:ascii="Calibri" w:hAnsi="Calibri" w:cs="Calibri"/>
                <w:color w:val="000000"/>
                <w:sz w:val="22"/>
                <w:szCs w:val="22"/>
                <w:vertAlign w:val="superscript"/>
                <w:lang w:eastAsia="el-GR"/>
              </w:rPr>
              <w:t>1</w:t>
            </w:r>
          </w:p>
        </w:tc>
        <w:tc>
          <w:tcPr>
            <w:tcW w:w="2667" w:type="dxa"/>
            <w:tcBorders>
              <w:top w:val="nil"/>
              <w:left w:val="nil"/>
              <w:bottom w:val="single" w:sz="4" w:space="0" w:color="auto"/>
              <w:right w:val="nil"/>
            </w:tcBorders>
            <w:shd w:val="clear" w:color="auto" w:fill="auto"/>
            <w:vAlign w:val="center"/>
          </w:tcPr>
          <w:p w14:paraId="6C868FF1"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014CF256"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7FF9825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212</w:t>
            </w:r>
          </w:p>
        </w:tc>
        <w:tc>
          <w:tcPr>
            <w:tcW w:w="238" w:type="dxa"/>
            <w:vMerge/>
            <w:tcBorders>
              <w:top w:val="nil"/>
              <w:left w:val="nil"/>
              <w:bottom w:val="nil"/>
              <w:right w:val="nil"/>
            </w:tcBorders>
            <w:vAlign w:val="center"/>
          </w:tcPr>
          <w:p w14:paraId="220B21AC"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20179A7A"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149</w:t>
            </w:r>
          </w:p>
        </w:tc>
      </w:tr>
      <w:tr w:rsidR="004E3D7E" w:rsidRPr="0087712A" w14:paraId="1C465B67"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18FEA233"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Internships</w:t>
            </w:r>
          </w:p>
        </w:tc>
        <w:tc>
          <w:tcPr>
            <w:tcW w:w="2667" w:type="dxa"/>
            <w:tcBorders>
              <w:top w:val="nil"/>
              <w:left w:val="nil"/>
              <w:bottom w:val="single" w:sz="4" w:space="0" w:color="auto"/>
              <w:right w:val="nil"/>
            </w:tcBorders>
            <w:shd w:val="clear" w:color="auto" w:fill="auto"/>
            <w:vAlign w:val="center"/>
          </w:tcPr>
          <w:p w14:paraId="7BA13E8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73E82C6F"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2CFDA07A"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482</w:t>
            </w:r>
          </w:p>
        </w:tc>
        <w:tc>
          <w:tcPr>
            <w:tcW w:w="238" w:type="dxa"/>
            <w:vMerge/>
            <w:tcBorders>
              <w:top w:val="nil"/>
              <w:left w:val="nil"/>
              <w:bottom w:val="nil"/>
              <w:right w:val="nil"/>
            </w:tcBorders>
            <w:vAlign w:val="center"/>
          </w:tcPr>
          <w:p w14:paraId="19022F6E"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03E250E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391</w:t>
            </w:r>
          </w:p>
        </w:tc>
      </w:tr>
      <w:tr w:rsidR="004E3D7E" w:rsidRPr="0087712A" w14:paraId="4E5E4BEB"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522D3BB5"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Social investment (in cash and in kind)</w:t>
            </w:r>
          </w:p>
        </w:tc>
        <w:tc>
          <w:tcPr>
            <w:tcW w:w="2667" w:type="dxa"/>
            <w:tcBorders>
              <w:top w:val="nil"/>
              <w:left w:val="nil"/>
              <w:bottom w:val="single" w:sz="4" w:space="0" w:color="auto"/>
              <w:right w:val="nil"/>
            </w:tcBorders>
            <w:shd w:val="clear" w:color="auto" w:fill="auto"/>
            <w:vAlign w:val="center"/>
          </w:tcPr>
          <w:p w14:paraId="2C587EEC"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eastAsia="el-GR"/>
              </w:rPr>
              <w:t>m</w:t>
            </w:r>
            <w:r w:rsidRPr="0087712A">
              <w:rPr>
                <w:rFonts w:ascii="Calibri" w:hAnsi="Calibri" w:cs="Calibri"/>
                <w:color w:val="000000"/>
                <w:sz w:val="22"/>
                <w:szCs w:val="22"/>
                <w:lang w:val="el-GR" w:eastAsia="el-GR"/>
              </w:rPr>
              <w:t>€</w:t>
            </w:r>
          </w:p>
        </w:tc>
        <w:tc>
          <w:tcPr>
            <w:tcW w:w="257" w:type="dxa"/>
            <w:vMerge/>
            <w:tcBorders>
              <w:top w:val="nil"/>
              <w:left w:val="nil"/>
              <w:bottom w:val="nil"/>
              <w:right w:val="nil"/>
            </w:tcBorders>
            <w:vAlign w:val="center"/>
          </w:tcPr>
          <w:p w14:paraId="5A09FA5A" w14:textId="77777777" w:rsidR="004E3D7E" w:rsidRPr="0087712A" w:rsidRDefault="004E3D7E">
            <w:pPr>
              <w:rPr>
                <w:rFonts w:ascii="Calibri" w:hAnsi="Calibri" w:cs="Calibri"/>
                <w:color w:val="000000"/>
                <w:sz w:val="22"/>
                <w:szCs w:val="22"/>
                <w:lang w:val="el-GR" w:eastAsia="el-GR"/>
              </w:rPr>
            </w:pPr>
          </w:p>
        </w:tc>
        <w:tc>
          <w:tcPr>
            <w:tcW w:w="1382" w:type="dxa"/>
            <w:tcBorders>
              <w:top w:val="nil"/>
              <w:left w:val="nil"/>
              <w:bottom w:val="single" w:sz="4" w:space="0" w:color="auto"/>
              <w:right w:val="nil"/>
            </w:tcBorders>
            <w:shd w:val="clear" w:color="000000" w:fill="F2F2F2"/>
            <w:noWrap/>
            <w:vAlign w:val="center"/>
          </w:tcPr>
          <w:p w14:paraId="4BD627A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1.7</w:t>
            </w:r>
          </w:p>
        </w:tc>
        <w:tc>
          <w:tcPr>
            <w:tcW w:w="238" w:type="dxa"/>
            <w:vMerge/>
            <w:tcBorders>
              <w:top w:val="nil"/>
              <w:left w:val="nil"/>
              <w:bottom w:val="nil"/>
              <w:right w:val="nil"/>
            </w:tcBorders>
            <w:vAlign w:val="center"/>
          </w:tcPr>
          <w:p w14:paraId="71BB62FE"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4" w:space="0" w:color="auto"/>
              <w:right w:val="nil"/>
            </w:tcBorders>
            <w:shd w:val="clear" w:color="auto" w:fill="auto"/>
            <w:noWrap/>
            <w:vAlign w:val="center"/>
          </w:tcPr>
          <w:p w14:paraId="3CD18EC1"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1.3</w:t>
            </w:r>
          </w:p>
        </w:tc>
      </w:tr>
      <w:tr w:rsidR="004E3D7E" w:rsidRPr="0087712A" w14:paraId="34F376E1"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12934CFE"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Employees from local community</w:t>
            </w:r>
          </w:p>
        </w:tc>
        <w:tc>
          <w:tcPr>
            <w:tcW w:w="2667" w:type="dxa"/>
            <w:tcBorders>
              <w:top w:val="nil"/>
              <w:left w:val="nil"/>
              <w:bottom w:val="single" w:sz="4" w:space="0" w:color="auto"/>
              <w:right w:val="nil"/>
            </w:tcBorders>
            <w:shd w:val="clear" w:color="auto" w:fill="auto"/>
            <w:vAlign w:val="center"/>
          </w:tcPr>
          <w:p w14:paraId="37FD5EDA" w14:textId="77777777" w:rsidR="004E3D7E" w:rsidRPr="0087712A" w:rsidRDefault="004E3D7E">
            <w:pPr>
              <w:jc w:val="right"/>
              <w:rPr>
                <w:rFonts w:ascii="Calibri" w:hAnsi="Calibri" w:cs="Calibri"/>
                <w:color w:val="000000"/>
                <w:sz w:val="22"/>
                <w:szCs w:val="22"/>
                <w:lang w:val="el-GR" w:eastAsia="el-GR"/>
              </w:rPr>
            </w:pPr>
            <w:r w:rsidRPr="0087712A">
              <w:rPr>
                <w:rFonts w:ascii="Calibri" w:hAnsi="Calibri" w:cs="Calibri"/>
                <w:color w:val="000000"/>
                <w:sz w:val="22"/>
                <w:szCs w:val="22"/>
                <w:lang w:val="el-GR" w:eastAsia="el-GR"/>
              </w:rPr>
              <w:t>%</w:t>
            </w:r>
          </w:p>
        </w:tc>
        <w:tc>
          <w:tcPr>
            <w:tcW w:w="257" w:type="dxa"/>
            <w:vMerge w:val="restart"/>
            <w:tcBorders>
              <w:top w:val="nil"/>
              <w:left w:val="nil"/>
              <w:bottom w:val="nil"/>
              <w:right w:val="nil"/>
            </w:tcBorders>
            <w:vAlign w:val="center"/>
          </w:tcPr>
          <w:p w14:paraId="0E2C9BFA"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auto" w:fill="F2F2F2" w:themeFill="background1" w:themeFillShade="F2"/>
            <w:noWrap/>
            <w:vAlign w:val="center"/>
          </w:tcPr>
          <w:p w14:paraId="606883EF"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83.8</w:t>
            </w:r>
          </w:p>
        </w:tc>
        <w:tc>
          <w:tcPr>
            <w:tcW w:w="238" w:type="dxa"/>
            <w:vMerge w:val="restart"/>
            <w:tcBorders>
              <w:top w:val="nil"/>
              <w:left w:val="nil"/>
              <w:bottom w:val="nil"/>
              <w:right w:val="nil"/>
            </w:tcBorders>
            <w:vAlign w:val="center"/>
          </w:tcPr>
          <w:p w14:paraId="249A57EB"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502BA205"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83.3</w:t>
            </w:r>
          </w:p>
        </w:tc>
      </w:tr>
      <w:tr w:rsidR="004E3D7E" w:rsidRPr="0087712A" w14:paraId="2A3E6DC1"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7B246024" w14:textId="77777777" w:rsidR="004E3D7E" w:rsidRPr="0087712A" w:rsidRDefault="004E3D7E">
            <w:pPr>
              <w:rPr>
                <w:rFonts w:ascii="Calibri" w:hAnsi="Calibri" w:cs="Calibri"/>
                <w:color w:val="000000"/>
                <w:sz w:val="22"/>
                <w:szCs w:val="22"/>
                <w:lang w:val="el-GR" w:eastAsia="el-GR"/>
              </w:rPr>
            </w:pPr>
            <w:r w:rsidRPr="0087712A">
              <w:rPr>
                <w:rFonts w:ascii="Calibri" w:hAnsi="Calibri" w:cs="Calibri"/>
                <w:color w:val="000000"/>
                <w:sz w:val="22"/>
                <w:szCs w:val="22"/>
                <w:lang w:eastAsia="el-GR"/>
              </w:rPr>
              <w:t>Local spend</w:t>
            </w:r>
          </w:p>
        </w:tc>
        <w:tc>
          <w:tcPr>
            <w:tcW w:w="2667" w:type="dxa"/>
            <w:tcBorders>
              <w:top w:val="nil"/>
              <w:left w:val="nil"/>
              <w:bottom w:val="single" w:sz="4" w:space="0" w:color="auto"/>
              <w:right w:val="nil"/>
            </w:tcBorders>
            <w:shd w:val="clear" w:color="auto" w:fill="auto"/>
            <w:vAlign w:val="center"/>
          </w:tcPr>
          <w:p w14:paraId="3D892D14"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52933699"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auto" w:fill="F2F2F2" w:themeFill="background1" w:themeFillShade="F2"/>
            <w:noWrap/>
            <w:vAlign w:val="center"/>
          </w:tcPr>
          <w:p w14:paraId="74A27FB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67.6</w:t>
            </w:r>
          </w:p>
        </w:tc>
        <w:tc>
          <w:tcPr>
            <w:tcW w:w="238" w:type="dxa"/>
            <w:vMerge/>
            <w:tcBorders>
              <w:top w:val="nil"/>
              <w:left w:val="nil"/>
              <w:bottom w:val="nil"/>
              <w:right w:val="nil"/>
            </w:tcBorders>
            <w:vAlign w:val="center"/>
          </w:tcPr>
          <w:p w14:paraId="190AA484"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48561A5E"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65.1</w:t>
            </w:r>
          </w:p>
        </w:tc>
      </w:tr>
      <w:tr w:rsidR="004E3D7E" w:rsidRPr="0087712A" w14:paraId="1D685717" w14:textId="77777777">
        <w:trPr>
          <w:gridAfter w:val="1"/>
          <w:wAfter w:w="1384" w:type="dxa"/>
          <w:trHeight w:val="257"/>
        </w:trPr>
        <w:tc>
          <w:tcPr>
            <w:tcW w:w="3828" w:type="dxa"/>
            <w:tcBorders>
              <w:top w:val="nil"/>
              <w:left w:val="nil"/>
              <w:bottom w:val="single" w:sz="12" w:space="0" w:color="2683C6" w:themeColor="accent2"/>
              <w:right w:val="nil"/>
            </w:tcBorders>
            <w:shd w:val="clear" w:color="auto" w:fill="auto"/>
            <w:noWrap/>
            <w:vAlign w:val="center"/>
          </w:tcPr>
          <w:p w14:paraId="38054447" w14:textId="77777777" w:rsidR="004E3D7E" w:rsidRPr="0087712A" w:rsidRDefault="004E3D7E">
            <w:pPr>
              <w:rPr>
                <w:rFonts w:ascii="Calibri" w:hAnsi="Calibri" w:cs="Calibri"/>
                <w:color w:val="000000"/>
                <w:sz w:val="22"/>
                <w:szCs w:val="22"/>
                <w:lang w:eastAsia="el-GR"/>
              </w:rPr>
            </w:pPr>
            <w:proofErr w:type="spellStart"/>
            <w:r w:rsidRPr="0087712A">
              <w:rPr>
                <w:rFonts w:ascii="Calibri" w:hAnsi="Calibri" w:cs="Calibri"/>
                <w:b/>
                <w:bCs/>
                <w:color w:val="4F81BD"/>
                <w:sz w:val="22"/>
                <w:szCs w:val="22"/>
                <w:lang w:val="el-GR" w:eastAsia="el-GR"/>
              </w:rPr>
              <w:t>Responsible</w:t>
            </w:r>
            <w:proofErr w:type="spellEnd"/>
            <w:r w:rsidRPr="0087712A">
              <w:rPr>
                <w:rFonts w:ascii="Calibri" w:hAnsi="Calibri" w:cs="Calibri"/>
                <w:b/>
                <w:bCs/>
                <w:color w:val="4F81BD"/>
                <w:sz w:val="22"/>
                <w:szCs w:val="22"/>
                <w:lang w:val="el-GR" w:eastAsia="el-GR"/>
              </w:rPr>
              <w:t xml:space="preserve"> </w:t>
            </w:r>
            <w:proofErr w:type="spellStart"/>
            <w:r w:rsidRPr="0087712A">
              <w:rPr>
                <w:rFonts w:ascii="Calibri" w:hAnsi="Calibri" w:cs="Calibri"/>
                <w:b/>
                <w:bCs/>
                <w:color w:val="4F81BD"/>
                <w:sz w:val="22"/>
                <w:szCs w:val="22"/>
                <w:lang w:val="el-GR" w:eastAsia="el-GR"/>
              </w:rPr>
              <w:t>sourcing</w:t>
            </w:r>
            <w:proofErr w:type="spellEnd"/>
          </w:p>
        </w:tc>
        <w:tc>
          <w:tcPr>
            <w:tcW w:w="2667" w:type="dxa"/>
            <w:tcBorders>
              <w:top w:val="nil"/>
              <w:left w:val="nil"/>
              <w:bottom w:val="single" w:sz="12" w:space="0" w:color="2683C6" w:themeColor="accent2"/>
              <w:right w:val="nil"/>
            </w:tcBorders>
            <w:shd w:val="clear" w:color="auto" w:fill="auto"/>
            <w:vAlign w:val="center"/>
          </w:tcPr>
          <w:p w14:paraId="3D19365A" w14:textId="77777777" w:rsidR="004E3D7E" w:rsidRPr="0087712A" w:rsidRDefault="004E3D7E">
            <w:pPr>
              <w:rPr>
                <w:rFonts w:ascii="Calibri" w:hAnsi="Calibri" w:cs="Calibri"/>
                <w:color w:val="000000"/>
                <w:sz w:val="22"/>
                <w:szCs w:val="22"/>
                <w:lang w:val="el-GR" w:eastAsia="el-GR"/>
              </w:rPr>
            </w:pPr>
          </w:p>
        </w:tc>
        <w:tc>
          <w:tcPr>
            <w:tcW w:w="257" w:type="dxa"/>
            <w:vMerge/>
            <w:tcBorders>
              <w:top w:val="nil"/>
              <w:left w:val="nil"/>
              <w:bottom w:val="single" w:sz="12" w:space="0" w:color="2683C6" w:themeColor="accent2"/>
              <w:right w:val="nil"/>
            </w:tcBorders>
            <w:vAlign w:val="center"/>
          </w:tcPr>
          <w:p w14:paraId="0B46FD61" w14:textId="77777777" w:rsidR="004E3D7E" w:rsidRPr="0087712A" w:rsidRDefault="004E3D7E">
            <w:pPr>
              <w:rPr>
                <w:rFonts w:ascii="Calibri" w:hAnsi="Calibri" w:cs="Calibri"/>
                <w:color w:val="000000"/>
                <w:sz w:val="22"/>
                <w:szCs w:val="22"/>
                <w:lang w:val="el-GR" w:eastAsia="el-GR"/>
              </w:rPr>
            </w:pPr>
          </w:p>
        </w:tc>
        <w:tc>
          <w:tcPr>
            <w:tcW w:w="1382" w:type="dxa"/>
            <w:tcBorders>
              <w:top w:val="nil"/>
              <w:left w:val="nil"/>
              <w:bottom w:val="single" w:sz="12" w:space="0" w:color="2683C6" w:themeColor="accent2"/>
              <w:right w:val="nil"/>
            </w:tcBorders>
            <w:shd w:val="clear" w:color="auto" w:fill="FFFFFF" w:themeFill="background1"/>
            <w:noWrap/>
            <w:vAlign w:val="center"/>
          </w:tcPr>
          <w:p w14:paraId="3D732E2E" w14:textId="77777777" w:rsidR="004E3D7E" w:rsidRPr="0087712A" w:rsidRDefault="004E3D7E">
            <w:pPr>
              <w:jc w:val="right"/>
              <w:rPr>
                <w:rFonts w:ascii="Calibri" w:hAnsi="Calibri" w:cs="Calibri"/>
                <w:color w:val="000000"/>
                <w:sz w:val="22"/>
                <w:szCs w:val="22"/>
                <w:lang w:val="el-GR" w:eastAsia="el-GR"/>
              </w:rPr>
            </w:pPr>
          </w:p>
        </w:tc>
        <w:tc>
          <w:tcPr>
            <w:tcW w:w="238" w:type="dxa"/>
            <w:vMerge/>
            <w:tcBorders>
              <w:top w:val="nil"/>
              <w:left w:val="nil"/>
              <w:bottom w:val="single" w:sz="12" w:space="0" w:color="2683C6" w:themeColor="accent2"/>
              <w:right w:val="nil"/>
            </w:tcBorders>
            <w:vAlign w:val="center"/>
          </w:tcPr>
          <w:p w14:paraId="06BF808B" w14:textId="77777777" w:rsidR="004E3D7E" w:rsidRPr="0087712A" w:rsidRDefault="004E3D7E">
            <w:pPr>
              <w:rPr>
                <w:rFonts w:ascii="Calibri" w:hAnsi="Calibri" w:cs="Calibri"/>
                <w:color w:val="000000"/>
                <w:sz w:val="22"/>
                <w:szCs w:val="22"/>
                <w:lang w:val="el-GR" w:eastAsia="el-GR"/>
              </w:rPr>
            </w:pPr>
          </w:p>
        </w:tc>
        <w:tc>
          <w:tcPr>
            <w:tcW w:w="1280" w:type="dxa"/>
            <w:tcBorders>
              <w:top w:val="nil"/>
              <w:left w:val="nil"/>
              <w:bottom w:val="single" w:sz="12" w:space="0" w:color="2683C6" w:themeColor="accent2"/>
              <w:right w:val="nil"/>
            </w:tcBorders>
            <w:shd w:val="clear" w:color="auto" w:fill="auto"/>
            <w:noWrap/>
            <w:vAlign w:val="center"/>
          </w:tcPr>
          <w:p w14:paraId="7BB30233" w14:textId="77777777" w:rsidR="004E3D7E" w:rsidRPr="0087712A" w:rsidRDefault="004E3D7E">
            <w:pPr>
              <w:jc w:val="right"/>
              <w:rPr>
                <w:rFonts w:ascii="Calibri" w:hAnsi="Calibri" w:cs="Calibri"/>
                <w:color w:val="000000"/>
                <w:sz w:val="22"/>
                <w:szCs w:val="22"/>
                <w:lang w:val="el-GR" w:eastAsia="el-GR"/>
              </w:rPr>
            </w:pPr>
          </w:p>
        </w:tc>
      </w:tr>
      <w:tr w:rsidR="004E3D7E" w:rsidRPr="0087712A" w14:paraId="5C1181BE" w14:textId="77777777">
        <w:trPr>
          <w:gridAfter w:val="1"/>
          <w:wAfter w:w="1384" w:type="dxa"/>
          <w:trHeight w:val="257"/>
        </w:trPr>
        <w:tc>
          <w:tcPr>
            <w:tcW w:w="3828" w:type="dxa"/>
            <w:tcBorders>
              <w:top w:val="single" w:sz="12" w:space="0" w:color="2683C6" w:themeColor="accent2"/>
              <w:left w:val="nil"/>
              <w:bottom w:val="single" w:sz="4" w:space="0" w:color="auto"/>
              <w:right w:val="nil"/>
            </w:tcBorders>
            <w:shd w:val="clear" w:color="auto" w:fill="auto"/>
            <w:noWrap/>
            <w:vAlign w:val="center"/>
          </w:tcPr>
          <w:p w14:paraId="46E1CADF" w14:textId="77777777" w:rsidR="004E3D7E" w:rsidRPr="0087712A" w:rsidRDefault="004E3D7E">
            <w:pPr>
              <w:rPr>
                <w:rFonts w:ascii="Calibri" w:hAnsi="Calibri" w:cs="Calibri"/>
                <w:color w:val="000000"/>
                <w:sz w:val="22"/>
                <w:szCs w:val="22"/>
                <w:lang w:val="el-GR" w:eastAsia="el-GR"/>
              </w:rPr>
            </w:pPr>
            <w:r w:rsidRPr="0087712A">
              <w:rPr>
                <w:rFonts w:ascii="Calibri" w:hAnsi="Calibri" w:cs="Calibri"/>
                <w:color w:val="000000"/>
                <w:sz w:val="22"/>
                <w:szCs w:val="22"/>
                <w:lang w:eastAsia="el-GR"/>
              </w:rPr>
              <w:t>Water consumption</w:t>
            </w:r>
          </w:p>
        </w:tc>
        <w:tc>
          <w:tcPr>
            <w:tcW w:w="2667" w:type="dxa"/>
            <w:tcBorders>
              <w:top w:val="single" w:sz="12" w:space="0" w:color="2683C6" w:themeColor="accent2"/>
              <w:left w:val="nil"/>
              <w:bottom w:val="single" w:sz="4" w:space="0" w:color="auto"/>
              <w:right w:val="nil"/>
            </w:tcBorders>
            <w:shd w:val="clear" w:color="auto" w:fill="auto"/>
            <w:vAlign w:val="center"/>
          </w:tcPr>
          <w:p w14:paraId="5F30ABB8"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l/t cementitious product</w:t>
            </w:r>
          </w:p>
        </w:tc>
        <w:tc>
          <w:tcPr>
            <w:tcW w:w="257" w:type="dxa"/>
            <w:vMerge/>
            <w:tcBorders>
              <w:top w:val="single" w:sz="12" w:space="0" w:color="2683C6" w:themeColor="accent2"/>
              <w:left w:val="nil"/>
              <w:bottom w:val="nil"/>
              <w:right w:val="nil"/>
            </w:tcBorders>
            <w:vAlign w:val="center"/>
          </w:tcPr>
          <w:p w14:paraId="6938A275" w14:textId="77777777" w:rsidR="004E3D7E" w:rsidRPr="0087712A" w:rsidRDefault="004E3D7E">
            <w:pPr>
              <w:rPr>
                <w:rFonts w:ascii="Calibri" w:hAnsi="Calibri" w:cs="Calibri"/>
                <w:color w:val="000000"/>
                <w:sz w:val="22"/>
                <w:szCs w:val="22"/>
                <w:lang w:val="el-GR" w:eastAsia="el-GR"/>
              </w:rPr>
            </w:pPr>
          </w:p>
        </w:tc>
        <w:tc>
          <w:tcPr>
            <w:tcW w:w="1382" w:type="dxa"/>
            <w:tcBorders>
              <w:top w:val="single" w:sz="12" w:space="0" w:color="2683C6" w:themeColor="accent2"/>
              <w:left w:val="nil"/>
              <w:bottom w:val="single" w:sz="4" w:space="0" w:color="auto"/>
              <w:right w:val="nil"/>
            </w:tcBorders>
            <w:shd w:val="clear" w:color="000000" w:fill="F2F2F2"/>
            <w:noWrap/>
            <w:vAlign w:val="center"/>
          </w:tcPr>
          <w:p w14:paraId="3CBD62EE"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240.4</w:t>
            </w:r>
          </w:p>
        </w:tc>
        <w:tc>
          <w:tcPr>
            <w:tcW w:w="238" w:type="dxa"/>
            <w:vMerge/>
            <w:tcBorders>
              <w:top w:val="single" w:sz="12" w:space="0" w:color="2683C6" w:themeColor="accent2"/>
              <w:left w:val="nil"/>
              <w:bottom w:val="nil"/>
              <w:right w:val="nil"/>
            </w:tcBorders>
            <w:vAlign w:val="center"/>
          </w:tcPr>
          <w:p w14:paraId="48892B0A" w14:textId="77777777" w:rsidR="004E3D7E" w:rsidRPr="0087712A" w:rsidRDefault="004E3D7E">
            <w:pPr>
              <w:rPr>
                <w:rFonts w:ascii="Calibri" w:hAnsi="Calibri" w:cs="Calibri"/>
                <w:color w:val="000000"/>
                <w:sz w:val="22"/>
                <w:szCs w:val="22"/>
                <w:lang w:val="el-GR" w:eastAsia="el-GR"/>
              </w:rPr>
            </w:pPr>
          </w:p>
        </w:tc>
        <w:tc>
          <w:tcPr>
            <w:tcW w:w="1280" w:type="dxa"/>
            <w:tcBorders>
              <w:top w:val="single" w:sz="12" w:space="0" w:color="2683C6" w:themeColor="accent2"/>
              <w:left w:val="nil"/>
              <w:bottom w:val="single" w:sz="4" w:space="0" w:color="auto"/>
              <w:right w:val="nil"/>
            </w:tcBorders>
            <w:shd w:val="clear" w:color="auto" w:fill="auto"/>
            <w:noWrap/>
            <w:vAlign w:val="center"/>
          </w:tcPr>
          <w:p w14:paraId="5144EBA9"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245.7</w:t>
            </w:r>
          </w:p>
        </w:tc>
      </w:tr>
      <w:tr w:rsidR="004E3D7E" w:rsidRPr="0087712A" w14:paraId="6D5DEAED"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26AB3D94"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Water demand covered by recycled water</w:t>
            </w:r>
          </w:p>
        </w:tc>
        <w:tc>
          <w:tcPr>
            <w:tcW w:w="2667" w:type="dxa"/>
            <w:tcBorders>
              <w:top w:val="nil"/>
              <w:left w:val="nil"/>
              <w:bottom w:val="single" w:sz="4" w:space="0" w:color="auto"/>
              <w:right w:val="nil"/>
            </w:tcBorders>
            <w:shd w:val="clear" w:color="auto" w:fill="auto"/>
            <w:vAlign w:val="center"/>
          </w:tcPr>
          <w:p w14:paraId="12660B4B"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6FCBFC62"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7F9E2805"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68.0</w:t>
            </w:r>
          </w:p>
        </w:tc>
        <w:tc>
          <w:tcPr>
            <w:tcW w:w="238" w:type="dxa"/>
            <w:vMerge/>
            <w:tcBorders>
              <w:top w:val="nil"/>
              <w:left w:val="nil"/>
              <w:bottom w:val="nil"/>
              <w:right w:val="nil"/>
            </w:tcBorders>
            <w:vAlign w:val="center"/>
          </w:tcPr>
          <w:p w14:paraId="717241B9"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4750446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66.1</w:t>
            </w:r>
          </w:p>
        </w:tc>
      </w:tr>
      <w:tr w:rsidR="004E3D7E" w:rsidRPr="0087712A" w14:paraId="5D58181F" w14:textId="77777777">
        <w:trPr>
          <w:gridAfter w:val="1"/>
          <w:wAfter w:w="1384" w:type="dxa"/>
          <w:trHeight w:val="257"/>
        </w:trPr>
        <w:tc>
          <w:tcPr>
            <w:tcW w:w="3828" w:type="dxa"/>
            <w:tcBorders>
              <w:top w:val="nil"/>
              <w:left w:val="nil"/>
              <w:bottom w:val="single" w:sz="4" w:space="0" w:color="auto"/>
              <w:right w:val="nil"/>
            </w:tcBorders>
            <w:shd w:val="clear" w:color="auto" w:fill="auto"/>
            <w:noWrap/>
            <w:vAlign w:val="center"/>
          </w:tcPr>
          <w:p w14:paraId="470A846D"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Percentage of production covered by ISO 50001 or energy audits</w:t>
            </w:r>
          </w:p>
        </w:tc>
        <w:tc>
          <w:tcPr>
            <w:tcW w:w="2667" w:type="dxa"/>
            <w:tcBorders>
              <w:top w:val="nil"/>
              <w:left w:val="nil"/>
              <w:bottom w:val="single" w:sz="4" w:space="0" w:color="auto"/>
              <w:right w:val="nil"/>
            </w:tcBorders>
            <w:shd w:val="clear" w:color="auto" w:fill="auto"/>
            <w:vAlign w:val="center"/>
          </w:tcPr>
          <w:p w14:paraId="79872D06"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nil"/>
              <w:left w:val="nil"/>
              <w:bottom w:val="nil"/>
              <w:right w:val="nil"/>
            </w:tcBorders>
            <w:vAlign w:val="center"/>
          </w:tcPr>
          <w:p w14:paraId="51D740CE"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4" w:space="0" w:color="auto"/>
              <w:right w:val="nil"/>
            </w:tcBorders>
            <w:shd w:val="clear" w:color="000000" w:fill="F2F2F2"/>
            <w:noWrap/>
            <w:vAlign w:val="center"/>
          </w:tcPr>
          <w:p w14:paraId="49DE01F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86</w:t>
            </w:r>
          </w:p>
        </w:tc>
        <w:tc>
          <w:tcPr>
            <w:tcW w:w="238" w:type="dxa"/>
            <w:vMerge/>
            <w:tcBorders>
              <w:top w:val="nil"/>
              <w:left w:val="nil"/>
              <w:bottom w:val="nil"/>
              <w:right w:val="nil"/>
            </w:tcBorders>
            <w:vAlign w:val="center"/>
          </w:tcPr>
          <w:p w14:paraId="64FE467B"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4" w:space="0" w:color="auto"/>
              <w:right w:val="nil"/>
            </w:tcBorders>
            <w:shd w:val="clear" w:color="auto" w:fill="auto"/>
            <w:noWrap/>
            <w:vAlign w:val="center"/>
          </w:tcPr>
          <w:p w14:paraId="09E2D027"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86</w:t>
            </w:r>
          </w:p>
        </w:tc>
      </w:tr>
      <w:tr w:rsidR="004E3D7E" w:rsidRPr="0087712A" w14:paraId="1FCD841A" w14:textId="77777777">
        <w:trPr>
          <w:gridAfter w:val="1"/>
          <w:wAfter w:w="1384" w:type="dxa"/>
          <w:trHeight w:val="172"/>
        </w:trPr>
        <w:tc>
          <w:tcPr>
            <w:tcW w:w="6495" w:type="dxa"/>
            <w:gridSpan w:val="2"/>
            <w:tcBorders>
              <w:top w:val="nil"/>
              <w:left w:val="nil"/>
              <w:bottom w:val="single" w:sz="12" w:space="0" w:color="2683C6" w:themeColor="accent2"/>
              <w:right w:val="nil"/>
            </w:tcBorders>
            <w:shd w:val="clear" w:color="auto" w:fill="auto"/>
            <w:noWrap/>
            <w:vAlign w:val="center"/>
          </w:tcPr>
          <w:p w14:paraId="17A240B2" w14:textId="77777777" w:rsidR="004E3D7E" w:rsidRPr="0087712A" w:rsidRDefault="004E3D7E">
            <w:pPr>
              <w:rPr>
                <w:rFonts w:ascii="Calibri" w:hAnsi="Calibri" w:cs="Calibri"/>
                <w:color w:val="000000"/>
                <w:sz w:val="22"/>
                <w:szCs w:val="22"/>
                <w:lang w:eastAsia="el-GR"/>
              </w:rPr>
            </w:pPr>
            <w:r w:rsidRPr="0087712A">
              <w:rPr>
                <w:rFonts w:ascii="Calibri" w:hAnsi="Calibri" w:cs="Calibri"/>
                <w:b/>
                <w:bCs/>
                <w:color w:val="4F81BD"/>
                <w:sz w:val="22"/>
                <w:szCs w:val="22"/>
                <w:lang w:eastAsia="el-GR"/>
              </w:rPr>
              <w:t>Good governance, transparency, and business ethics</w:t>
            </w:r>
          </w:p>
        </w:tc>
        <w:tc>
          <w:tcPr>
            <w:tcW w:w="257" w:type="dxa"/>
            <w:vMerge/>
            <w:tcBorders>
              <w:top w:val="nil"/>
              <w:left w:val="nil"/>
              <w:bottom w:val="single" w:sz="12" w:space="0" w:color="2683C6" w:themeColor="accent2"/>
              <w:right w:val="nil"/>
            </w:tcBorders>
            <w:vAlign w:val="center"/>
          </w:tcPr>
          <w:p w14:paraId="4698A190" w14:textId="77777777" w:rsidR="004E3D7E" w:rsidRPr="0087712A" w:rsidRDefault="004E3D7E">
            <w:pPr>
              <w:rPr>
                <w:rFonts w:ascii="Calibri" w:hAnsi="Calibri" w:cs="Calibri"/>
                <w:color w:val="000000"/>
                <w:sz w:val="22"/>
                <w:szCs w:val="22"/>
                <w:lang w:eastAsia="el-GR"/>
              </w:rPr>
            </w:pPr>
          </w:p>
        </w:tc>
        <w:tc>
          <w:tcPr>
            <w:tcW w:w="1382" w:type="dxa"/>
            <w:tcBorders>
              <w:top w:val="nil"/>
              <w:left w:val="nil"/>
              <w:bottom w:val="single" w:sz="12" w:space="0" w:color="2683C6" w:themeColor="accent2"/>
              <w:right w:val="nil"/>
            </w:tcBorders>
            <w:shd w:val="clear" w:color="auto" w:fill="FFFFFF" w:themeFill="background1"/>
            <w:noWrap/>
            <w:vAlign w:val="center"/>
          </w:tcPr>
          <w:p w14:paraId="687AF44A" w14:textId="77777777" w:rsidR="004E3D7E" w:rsidRPr="0087712A" w:rsidRDefault="004E3D7E">
            <w:pPr>
              <w:jc w:val="right"/>
              <w:rPr>
                <w:rFonts w:ascii="Calibri" w:hAnsi="Calibri" w:cs="Calibri"/>
                <w:color w:val="000000"/>
                <w:sz w:val="22"/>
                <w:szCs w:val="22"/>
                <w:lang w:eastAsia="el-GR"/>
              </w:rPr>
            </w:pPr>
          </w:p>
        </w:tc>
        <w:tc>
          <w:tcPr>
            <w:tcW w:w="238" w:type="dxa"/>
            <w:vMerge/>
            <w:tcBorders>
              <w:top w:val="nil"/>
              <w:left w:val="nil"/>
              <w:bottom w:val="single" w:sz="12" w:space="0" w:color="2683C6" w:themeColor="accent2"/>
              <w:right w:val="nil"/>
            </w:tcBorders>
            <w:vAlign w:val="center"/>
          </w:tcPr>
          <w:p w14:paraId="4FFAB910" w14:textId="77777777" w:rsidR="004E3D7E" w:rsidRPr="0087712A" w:rsidRDefault="004E3D7E">
            <w:pPr>
              <w:rPr>
                <w:rFonts w:ascii="Calibri" w:hAnsi="Calibri" w:cs="Calibri"/>
                <w:color w:val="000000"/>
                <w:sz w:val="22"/>
                <w:szCs w:val="22"/>
                <w:lang w:eastAsia="el-GR"/>
              </w:rPr>
            </w:pPr>
          </w:p>
        </w:tc>
        <w:tc>
          <w:tcPr>
            <w:tcW w:w="1280" w:type="dxa"/>
            <w:tcBorders>
              <w:top w:val="nil"/>
              <w:left w:val="nil"/>
              <w:bottom w:val="single" w:sz="12" w:space="0" w:color="2683C6" w:themeColor="accent2"/>
              <w:right w:val="nil"/>
            </w:tcBorders>
            <w:shd w:val="clear" w:color="auto" w:fill="auto"/>
            <w:noWrap/>
            <w:vAlign w:val="center"/>
          </w:tcPr>
          <w:p w14:paraId="609A7027" w14:textId="77777777" w:rsidR="004E3D7E" w:rsidRPr="0087712A" w:rsidRDefault="004E3D7E">
            <w:pPr>
              <w:jc w:val="right"/>
              <w:rPr>
                <w:rFonts w:ascii="Calibri" w:hAnsi="Calibri" w:cs="Calibri"/>
                <w:color w:val="000000"/>
                <w:sz w:val="22"/>
                <w:szCs w:val="22"/>
                <w:lang w:eastAsia="el-GR"/>
              </w:rPr>
            </w:pPr>
          </w:p>
        </w:tc>
      </w:tr>
      <w:tr w:rsidR="004E3D7E" w:rsidRPr="0087712A" w14:paraId="12E70D88" w14:textId="77777777">
        <w:trPr>
          <w:gridAfter w:val="1"/>
          <w:wAfter w:w="1384" w:type="dxa"/>
          <w:trHeight w:val="257"/>
        </w:trPr>
        <w:tc>
          <w:tcPr>
            <w:tcW w:w="3828" w:type="dxa"/>
            <w:tcBorders>
              <w:top w:val="single" w:sz="12" w:space="0" w:color="2683C6" w:themeColor="accent2"/>
              <w:left w:val="nil"/>
              <w:bottom w:val="single" w:sz="4" w:space="0" w:color="auto"/>
              <w:right w:val="nil"/>
            </w:tcBorders>
            <w:shd w:val="clear" w:color="auto" w:fill="auto"/>
            <w:noWrap/>
            <w:vAlign w:val="center"/>
          </w:tcPr>
          <w:p w14:paraId="2A519D8F"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Female representation on the Board of Directors</w:t>
            </w:r>
          </w:p>
        </w:tc>
        <w:tc>
          <w:tcPr>
            <w:tcW w:w="2667" w:type="dxa"/>
            <w:tcBorders>
              <w:top w:val="single" w:sz="12" w:space="0" w:color="2683C6" w:themeColor="accent2"/>
              <w:left w:val="nil"/>
              <w:bottom w:val="single" w:sz="4" w:space="0" w:color="auto"/>
              <w:right w:val="nil"/>
            </w:tcBorders>
            <w:shd w:val="clear" w:color="auto" w:fill="auto"/>
            <w:vAlign w:val="center"/>
          </w:tcPr>
          <w:p w14:paraId="18162EB3"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single" w:sz="12" w:space="0" w:color="2683C6" w:themeColor="accent2"/>
              <w:left w:val="nil"/>
              <w:bottom w:val="nil"/>
              <w:right w:val="nil"/>
            </w:tcBorders>
            <w:vAlign w:val="center"/>
          </w:tcPr>
          <w:p w14:paraId="260A41E6" w14:textId="77777777" w:rsidR="004E3D7E" w:rsidRPr="0087712A" w:rsidRDefault="004E3D7E">
            <w:pPr>
              <w:rPr>
                <w:rFonts w:ascii="Calibri" w:hAnsi="Calibri" w:cs="Calibri"/>
                <w:color w:val="000000"/>
                <w:sz w:val="22"/>
                <w:szCs w:val="22"/>
                <w:lang w:eastAsia="el-GR"/>
              </w:rPr>
            </w:pPr>
          </w:p>
        </w:tc>
        <w:tc>
          <w:tcPr>
            <w:tcW w:w="1382" w:type="dxa"/>
            <w:tcBorders>
              <w:top w:val="single" w:sz="12" w:space="0" w:color="2683C6" w:themeColor="accent2"/>
              <w:left w:val="nil"/>
              <w:bottom w:val="single" w:sz="4" w:space="0" w:color="auto"/>
              <w:right w:val="nil"/>
            </w:tcBorders>
            <w:shd w:val="clear" w:color="000000" w:fill="F2F2F2"/>
            <w:noWrap/>
            <w:vAlign w:val="center"/>
          </w:tcPr>
          <w:p w14:paraId="728EE939"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val="el-GR" w:eastAsia="el-GR"/>
              </w:rPr>
              <w:t>1/</w:t>
            </w:r>
            <w:r w:rsidRPr="0087712A">
              <w:rPr>
                <w:rFonts w:ascii="Calibri" w:hAnsi="Calibri" w:cs="Calibri"/>
                <w:color w:val="000000"/>
                <w:sz w:val="22"/>
                <w:szCs w:val="22"/>
                <w:lang w:eastAsia="el-GR"/>
              </w:rPr>
              <w:t>3</w:t>
            </w:r>
          </w:p>
        </w:tc>
        <w:tc>
          <w:tcPr>
            <w:tcW w:w="238" w:type="dxa"/>
            <w:vMerge/>
            <w:tcBorders>
              <w:top w:val="single" w:sz="12" w:space="0" w:color="2683C6" w:themeColor="accent2"/>
              <w:left w:val="nil"/>
              <w:bottom w:val="nil"/>
              <w:right w:val="nil"/>
            </w:tcBorders>
            <w:vAlign w:val="center"/>
          </w:tcPr>
          <w:p w14:paraId="6F961349" w14:textId="77777777" w:rsidR="004E3D7E" w:rsidRPr="0087712A" w:rsidRDefault="004E3D7E">
            <w:pPr>
              <w:rPr>
                <w:rFonts w:ascii="Calibri" w:hAnsi="Calibri" w:cs="Calibri"/>
                <w:color w:val="000000"/>
                <w:sz w:val="22"/>
                <w:szCs w:val="22"/>
                <w:lang w:eastAsia="el-GR"/>
              </w:rPr>
            </w:pPr>
          </w:p>
        </w:tc>
        <w:tc>
          <w:tcPr>
            <w:tcW w:w="1280" w:type="dxa"/>
            <w:tcBorders>
              <w:top w:val="single" w:sz="12" w:space="0" w:color="2683C6" w:themeColor="accent2"/>
              <w:left w:val="nil"/>
              <w:bottom w:val="single" w:sz="4" w:space="0" w:color="auto"/>
              <w:right w:val="nil"/>
            </w:tcBorders>
            <w:shd w:val="clear" w:color="auto" w:fill="auto"/>
            <w:noWrap/>
            <w:vAlign w:val="center"/>
          </w:tcPr>
          <w:p w14:paraId="6B6EC0CB"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val="el-GR" w:eastAsia="el-GR"/>
              </w:rPr>
              <w:t>1/</w:t>
            </w:r>
            <w:r w:rsidRPr="0087712A">
              <w:rPr>
                <w:rFonts w:ascii="Calibri" w:hAnsi="Calibri" w:cs="Calibri"/>
                <w:color w:val="000000"/>
                <w:sz w:val="22"/>
                <w:szCs w:val="22"/>
                <w:lang w:eastAsia="el-GR"/>
              </w:rPr>
              <w:t>5</w:t>
            </w:r>
          </w:p>
        </w:tc>
      </w:tr>
      <w:tr w:rsidR="004E3D7E" w:rsidRPr="0087712A" w14:paraId="157B96EB" w14:textId="77777777">
        <w:trPr>
          <w:gridAfter w:val="1"/>
          <w:wAfter w:w="1384" w:type="dxa"/>
          <w:trHeight w:val="257"/>
        </w:trPr>
        <w:tc>
          <w:tcPr>
            <w:tcW w:w="3828" w:type="dxa"/>
            <w:tcBorders>
              <w:top w:val="single" w:sz="12" w:space="0" w:color="2683C6" w:themeColor="accent2"/>
              <w:left w:val="nil"/>
              <w:bottom w:val="single" w:sz="4" w:space="0" w:color="auto"/>
              <w:right w:val="nil"/>
            </w:tcBorders>
            <w:shd w:val="clear" w:color="auto" w:fill="auto"/>
            <w:noWrap/>
            <w:vAlign w:val="center"/>
          </w:tcPr>
          <w:p w14:paraId="44FECF88" w14:textId="77777777" w:rsidR="004E3D7E" w:rsidRPr="0087712A" w:rsidRDefault="004E3D7E">
            <w:pPr>
              <w:rPr>
                <w:rFonts w:ascii="Calibri" w:hAnsi="Calibri" w:cs="Calibri"/>
                <w:color w:val="000000"/>
                <w:sz w:val="22"/>
                <w:szCs w:val="22"/>
                <w:lang w:eastAsia="el-GR"/>
              </w:rPr>
            </w:pPr>
            <w:r w:rsidRPr="0087712A">
              <w:rPr>
                <w:rFonts w:ascii="Calibri" w:hAnsi="Calibri" w:cs="Calibri"/>
                <w:color w:val="000000"/>
                <w:sz w:val="22"/>
                <w:szCs w:val="22"/>
                <w:lang w:eastAsia="el-GR"/>
              </w:rPr>
              <w:t>Independent Board members</w:t>
            </w:r>
          </w:p>
        </w:tc>
        <w:tc>
          <w:tcPr>
            <w:tcW w:w="2667" w:type="dxa"/>
            <w:tcBorders>
              <w:top w:val="single" w:sz="12" w:space="0" w:color="2683C6" w:themeColor="accent2"/>
              <w:left w:val="nil"/>
              <w:bottom w:val="single" w:sz="4" w:space="0" w:color="auto"/>
              <w:right w:val="nil"/>
            </w:tcBorders>
            <w:shd w:val="clear" w:color="auto" w:fill="auto"/>
            <w:vAlign w:val="center"/>
          </w:tcPr>
          <w:p w14:paraId="7E6C65E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w:t>
            </w:r>
          </w:p>
        </w:tc>
        <w:tc>
          <w:tcPr>
            <w:tcW w:w="257" w:type="dxa"/>
            <w:vMerge/>
            <w:tcBorders>
              <w:top w:val="single" w:sz="12" w:space="0" w:color="2683C6" w:themeColor="accent2"/>
              <w:left w:val="nil"/>
              <w:bottom w:val="nil"/>
              <w:right w:val="nil"/>
            </w:tcBorders>
            <w:vAlign w:val="center"/>
          </w:tcPr>
          <w:p w14:paraId="1F8F26EB" w14:textId="77777777" w:rsidR="004E3D7E" w:rsidRPr="0087712A" w:rsidRDefault="004E3D7E">
            <w:pPr>
              <w:rPr>
                <w:rFonts w:ascii="Calibri" w:hAnsi="Calibri" w:cs="Calibri"/>
                <w:color w:val="000000"/>
                <w:sz w:val="22"/>
                <w:szCs w:val="22"/>
                <w:lang w:eastAsia="el-GR"/>
              </w:rPr>
            </w:pPr>
          </w:p>
        </w:tc>
        <w:tc>
          <w:tcPr>
            <w:tcW w:w="1382" w:type="dxa"/>
            <w:tcBorders>
              <w:top w:val="single" w:sz="12" w:space="0" w:color="2683C6" w:themeColor="accent2"/>
              <w:left w:val="nil"/>
              <w:bottom w:val="single" w:sz="4" w:space="0" w:color="auto"/>
              <w:right w:val="nil"/>
            </w:tcBorders>
            <w:shd w:val="clear" w:color="000000" w:fill="F2F2F2"/>
            <w:noWrap/>
            <w:vAlign w:val="center"/>
          </w:tcPr>
          <w:p w14:paraId="51D4B58D"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10/16</w:t>
            </w:r>
          </w:p>
        </w:tc>
        <w:tc>
          <w:tcPr>
            <w:tcW w:w="238" w:type="dxa"/>
            <w:vMerge/>
            <w:tcBorders>
              <w:top w:val="single" w:sz="12" w:space="0" w:color="2683C6" w:themeColor="accent2"/>
              <w:left w:val="nil"/>
              <w:bottom w:val="nil"/>
              <w:right w:val="nil"/>
            </w:tcBorders>
            <w:vAlign w:val="center"/>
          </w:tcPr>
          <w:p w14:paraId="6845B431" w14:textId="77777777" w:rsidR="004E3D7E" w:rsidRPr="0087712A" w:rsidRDefault="004E3D7E">
            <w:pPr>
              <w:rPr>
                <w:rFonts w:ascii="Calibri" w:hAnsi="Calibri" w:cs="Calibri"/>
                <w:color w:val="000000"/>
                <w:sz w:val="22"/>
                <w:szCs w:val="22"/>
                <w:lang w:eastAsia="el-GR"/>
              </w:rPr>
            </w:pPr>
          </w:p>
        </w:tc>
        <w:tc>
          <w:tcPr>
            <w:tcW w:w="1280" w:type="dxa"/>
            <w:tcBorders>
              <w:top w:val="single" w:sz="12" w:space="0" w:color="2683C6" w:themeColor="accent2"/>
              <w:left w:val="nil"/>
              <w:bottom w:val="single" w:sz="4" w:space="0" w:color="auto"/>
              <w:right w:val="nil"/>
            </w:tcBorders>
            <w:shd w:val="clear" w:color="auto" w:fill="auto"/>
            <w:noWrap/>
            <w:vAlign w:val="center"/>
          </w:tcPr>
          <w:p w14:paraId="551EB110" w14:textId="77777777" w:rsidR="004E3D7E" w:rsidRPr="0087712A" w:rsidRDefault="004E3D7E">
            <w:pPr>
              <w:jc w:val="right"/>
              <w:rPr>
                <w:rFonts w:ascii="Calibri" w:hAnsi="Calibri" w:cs="Calibri"/>
                <w:color w:val="000000"/>
                <w:sz w:val="22"/>
                <w:szCs w:val="22"/>
                <w:lang w:eastAsia="el-GR"/>
              </w:rPr>
            </w:pPr>
            <w:r w:rsidRPr="0087712A">
              <w:rPr>
                <w:rFonts w:ascii="Calibri" w:hAnsi="Calibri" w:cs="Calibri"/>
                <w:color w:val="000000"/>
                <w:sz w:val="22"/>
                <w:szCs w:val="22"/>
                <w:lang w:eastAsia="el-GR"/>
              </w:rPr>
              <w:t>8/15</w:t>
            </w:r>
          </w:p>
        </w:tc>
      </w:tr>
    </w:tbl>
    <w:p w14:paraId="4159829F" w14:textId="77777777" w:rsidR="004E3D7E" w:rsidRPr="0087712A" w:rsidRDefault="004E3D7E" w:rsidP="004E3D7E">
      <w:pPr>
        <w:spacing w:line="276" w:lineRule="auto"/>
        <w:rPr>
          <w:rFonts w:ascii="Calibri" w:eastAsiaTheme="minorEastAsia" w:hAnsi="Calibri" w:cs="Calibri"/>
          <w:b/>
          <w:bCs/>
          <w:noProof/>
          <w:color w:val="00183D"/>
          <w:sz w:val="22"/>
          <w:szCs w:val="22"/>
        </w:rPr>
      </w:pPr>
    </w:p>
    <w:p w14:paraId="21F4F205" w14:textId="77777777" w:rsidR="004E3D7E" w:rsidRPr="00132E8C" w:rsidRDefault="004E3D7E" w:rsidP="004E3D7E">
      <w:pPr>
        <w:spacing w:line="276" w:lineRule="auto"/>
        <w:rPr>
          <w:rFonts w:ascii="Calibri" w:eastAsiaTheme="minorEastAsia" w:hAnsi="Calibri" w:cs="Calibri"/>
          <w:b/>
          <w:bCs/>
          <w:noProof/>
          <w:sz w:val="21"/>
          <w:szCs w:val="21"/>
        </w:rPr>
      </w:pPr>
      <w:r w:rsidRPr="00132E8C">
        <w:rPr>
          <w:rFonts w:ascii="Calibri" w:eastAsiaTheme="minorEastAsia" w:hAnsi="Calibri" w:cs="Calibri"/>
          <w:b/>
          <w:bCs/>
          <w:noProof/>
          <w:sz w:val="21"/>
          <w:szCs w:val="21"/>
        </w:rPr>
        <w:t>Notes</w:t>
      </w:r>
    </w:p>
    <w:p w14:paraId="4CF55EA4" w14:textId="77777777" w:rsidR="004E3D7E" w:rsidRPr="00132E8C" w:rsidRDefault="004E3D7E" w:rsidP="004E3D7E">
      <w:pPr>
        <w:rPr>
          <w:rFonts w:ascii="Calibri" w:eastAsiaTheme="minorEastAsia" w:hAnsi="Calibri" w:cs="Calibri"/>
          <w:i/>
          <w:iCs/>
          <w:noProof/>
          <w:sz w:val="21"/>
          <w:szCs w:val="21"/>
        </w:rPr>
      </w:pPr>
      <w:r w:rsidRPr="00132E8C">
        <w:rPr>
          <w:rFonts w:ascii="Calibri" w:eastAsiaTheme="minorEastAsia" w:hAnsi="Calibri" w:cs="Calibri"/>
          <w:i/>
          <w:iCs/>
          <w:noProof/>
          <w:sz w:val="21"/>
          <w:szCs w:val="21"/>
          <w:vertAlign w:val="superscript"/>
        </w:rPr>
        <w:t>1</w:t>
      </w:r>
      <w:r w:rsidRPr="00132E8C">
        <w:rPr>
          <w:rFonts w:ascii="Calibri" w:eastAsiaTheme="minorEastAsia" w:hAnsi="Calibri" w:cs="Calibri"/>
          <w:i/>
          <w:iCs/>
          <w:noProof/>
          <w:sz w:val="21"/>
          <w:szCs w:val="21"/>
        </w:rPr>
        <w:t xml:space="preserve"> Including our joint venture in Brazil</w:t>
      </w:r>
    </w:p>
    <w:p w14:paraId="7C3C9596" w14:textId="77777777" w:rsidR="004E3D7E" w:rsidRPr="00132E8C" w:rsidRDefault="004E3D7E" w:rsidP="004E3D7E">
      <w:pPr>
        <w:rPr>
          <w:rFonts w:ascii="Calibri" w:eastAsiaTheme="minorEastAsia" w:hAnsi="Calibri" w:cs="Calibri"/>
          <w:i/>
          <w:iCs/>
          <w:noProof/>
          <w:sz w:val="21"/>
          <w:szCs w:val="21"/>
        </w:rPr>
      </w:pPr>
      <w:r w:rsidRPr="00132E8C">
        <w:rPr>
          <w:rFonts w:ascii="Calibri" w:eastAsiaTheme="minorEastAsia" w:hAnsi="Calibri" w:cs="Calibri"/>
          <w:i/>
          <w:iCs/>
          <w:noProof/>
          <w:sz w:val="21"/>
          <w:szCs w:val="21"/>
          <w:vertAlign w:val="superscript"/>
        </w:rPr>
        <w:t>2</w:t>
      </w:r>
      <w:r w:rsidRPr="00132E8C">
        <w:rPr>
          <w:rFonts w:ascii="Calibri" w:eastAsiaTheme="minorEastAsia" w:hAnsi="Calibri" w:cs="Calibri"/>
          <w:i/>
          <w:iCs/>
          <w:noProof/>
          <w:sz w:val="21"/>
          <w:szCs w:val="21"/>
        </w:rPr>
        <w:t xml:space="preserve"> Scope 1: direct CO₂ emissions ; Scope 2: indirect CO₂ emissions from electricity; Scope 3: indirect CO₂ emissions of the supply chain</w:t>
      </w:r>
    </w:p>
    <w:p w14:paraId="4B6EEBFA" w14:textId="77777777" w:rsidR="004E3D7E" w:rsidRPr="0087712A" w:rsidRDefault="004E3D7E" w:rsidP="004A7016">
      <w:pPr>
        <w:spacing w:after="200" w:line="276" w:lineRule="auto"/>
        <w:rPr>
          <w:rFonts w:ascii="Calibri" w:hAnsi="Calibri" w:cs="Calibri"/>
          <w:noProof/>
        </w:rPr>
      </w:pPr>
    </w:p>
    <w:p w14:paraId="67CB8D97" w14:textId="77777777" w:rsidR="004E3D7E" w:rsidRPr="0087712A" w:rsidRDefault="004E3D7E" w:rsidP="004A7016">
      <w:pPr>
        <w:spacing w:after="200" w:line="276" w:lineRule="auto"/>
        <w:rPr>
          <w:rFonts w:ascii="Calibri" w:hAnsi="Calibri" w:cs="Calibri"/>
          <w:noProof/>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81"/>
        <w:gridCol w:w="4166"/>
        <w:gridCol w:w="181"/>
        <w:gridCol w:w="3027"/>
      </w:tblGrid>
      <w:tr w:rsidR="001D3024" w14:paraId="724CFCD7" w14:textId="77777777" w:rsidTr="00D77E9E">
        <w:trPr>
          <w:cantSplit/>
          <w:trHeight w:hRule="exact" w:val="530"/>
        </w:trPr>
        <w:tc>
          <w:tcPr>
            <w:tcW w:w="9919" w:type="dxa"/>
            <w:gridSpan w:val="5"/>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20AC5A5" w14:textId="77777777" w:rsidR="001D3024" w:rsidRDefault="001D3024" w:rsidP="001B288A">
            <w:pPr>
              <w:keepNext/>
              <w:spacing w:before="53" w:after="30"/>
            </w:pPr>
            <w:r>
              <w:rPr>
                <w:rFonts w:ascii="Calibri" w:eastAsia="Calibri" w:hAnsi="Calibri" w:cs="Calibri"/>
                <w:b/>
                <w:color w:val="00183D"/>
                <w:sz w:val="28"/>
              </w:rPr>
              <w:t>General Definitions</w:t>
            </w:r>
          </w:p>
        </w:tc>
      </w:tr>
      <w:tr w:rsidR="001D3024" w14:paraId="2FD453BC" w14:textId="77777777" w:rsidTr="00D77E9E">
        <w:trPr>
          <w:cantSplit/>
          <w:trHeight w:hRule="exact" w:val="530"/>
        </w:trPr>
        <w:tc>
          <w:tcPr>
            <w:tcW w:w="2364" w:type="dxa"/>
            <w:tcBorders>
              <w:top w:val="nil"/>
              <w:left w:val="nil"/>
              <w:bottom w:val="single" w:sz="4" w:space="0" w:color="026DCE"/>
              <w:right w:val="nil"/>
            </w:tcBorders>
            <w:shd w:val="clear" w:color="auto" w:fill="FFFFFF"/>
            <w:tcMar>
              <w:top w:w="0" w:type="dxa"/>
              <w:left w:w="53" w:type="dxa"/>
              <w:bottom w:w="0" w:type="dxa"/>
              <w:right w:w="53" w:type="dxa"/>
            </w:tcMar>
            <w:vAlign w:val="bottom"/>
          </w:tcPr>
          <w:p w14:paraId="0E8CC344" w14:textId="77777777" w:rsidR="001D3024" w:rsidRDefault="001D3024" w:rsidP="001B288A">
            <w:pPr>
              <w:keepNext/>
              <w:spacing w:before="33" w:after="30"/>
            </w:pPr>
            <w:r>
              <w:rPr>
                <w:rFonts w:ascii="Calibri" w:eastAsia="Calibri" w:hAnsi="Calibri" w:cs="Calibri"/>
                <w:b/>
                <w:color w:val="4F81BD"/>
                <w:sz w:val="21"/>
              </w:rPr>
              <w:t>Measure</w:t>
            </w:r>
          </w:p>
        </w:tc>
        <w:tc>
          <w:tcPr>
            <w:tcW w:w="181"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492BB52F" w14:textId="77777777" w:rsidR="001D3024" w:rsidRDefault="001D3024" w:rsidP="001B288A">
            <w:pPr>
              <w:keepNext/>
              <w:spacing w:before="33" w:after="30"/>
            </w:pPr>
          </w:p>
        </w:tc>
        <w:tc>
          <w:tcPr>
            <w:tcW w:w="4166" w:type="dxa"/>
            <w:tcBorders>
              <w:top w:val="single" w:sz="8" w:space="0" w:color="000000"/>
              <w:left w:val="nil"/>
              <w:bottom w:val="single" w:sz="4" w:space="0" w:color="026DCE"/>
              <w:right w:val="nil"/>
            </w:tcBorders>
            <w:shd w:val="clear" w:color="auto" w:fill="FFFFFF"/>
            <w:tcMar>
              <w:top w:w="0" w:type="dxa"/>
              <w:left w:w="53" w:type="dxa"/>
              <w:bottom w:w="0" w:type="dxa"/>
              <w:right w:w="53" w:type="dxa"/>
            </w:tcMar>
            <w:vAlign w:val="bottom"/>
          </w:tcPr>
          <w:p w14:paraId="2CD2AFBB" w14:textId="77777777" w:rsidR="001D3024" w:rsidRDefault="001D3024" w:rsidP="001B288A">
            <w:pPr>
              <w:keepNext/>
              <w:spacing w:before="33" w:after="30"/>
            </w:pPr>
            <w:r>
              <w:rPr>
                <w:rFonts w:ascii="Calibri" w:eastAsia="Calibri" w:hAnsi="Calibri" w:cs="Calibri"/>
                <w:b/>
                <w:color w:val="4F81BD"/>
                <w:sz w:val="21"/>
              </w:rPr>
              <w:t>Definition</w:t>
            </w:r>
          </w:p>
        </w:tc>
        <w:tc>
          <w:tcPr>
            <w:tcW w:w="181"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29AC62BD" w14:textId="77777777" w:rsidR="001D3024" w:rsidRDefault="001D3024" w:rsidP="001B288A">
            <w:pPr>
              <w:keepNext/>
              <w:spacing w:before="33" w:after="30"/>
              <w:jc w:val="right"/>
            </w:pPr>
          </w:p>
        </w:tc>
        <w:tc>
          <w:tcPr>
            <w:tcW w:w="3025" w:type="dxa"/>
            <w:tcBorders>
              <w:top w:val="single" w:sz="8" w:space="0" w:color="000000"/>
              <w:left w:val="nil"/>
              <w:bottom w:val="single" w:sz="4" w:space="0" w:color="026DCE"/>
              <w:right w:val="nil"/>
            </w:tcBorders>
            <w:shd w:val="clear" w:color="auto" w:fill="FFFFFF"/>
            <w:tcMar>
              <w:top w:w="0" w:type="dxa"/>
              <w:left w:w="53" w:type="dxa"/>
              <w:bottom w:w="0" w:type="dxa"/>
              <w:right w:w="53" w:type="dxa"/>
            </w:tcMar>
            <w:vAlign w:val="bottom"/>
          </w:tcPr>
          <w:p w14:paraId="5554C347" w14:textId="77777777" w:rsidR="001D3024" w:rsidRDefault="001D3024" w:rsidP="001B288A">
            <w:pPr>
              <w:keepNext/>
              <w:spacing w:before="33" w:after="30"/>
            </w:pPr>
            <w:r>
              <w:rPr>
                <w:rFonts w:ascii="Calibri" w:eastAsia="Calibri" w:hAnsi="Calibri" w:cs="Calibri"/>
                <w:b/>
                <w:color w:val="4F81BD"/>
                <w:sz w:val="21"/>
              </w:rPr>
              <w:t>Purpose</w:t>
            </w:r>
          </w:p>
        </w:tc>
      </w:tr>
      <w:tr w:rsidR="001D3024" w14:paraId="2AD03A6B" w14:textId="77777777" w:rsidTr="00D77E9E">
        <w:trPr>
          <w:cantSplit/>
          <w:trHeight w:hRule="exact" w:val="318"/>
        </w:trPr>
        <w:tc>
          <w:tcPr>
            <w:tcW w:w="2364" w:type="dxa"/>
            <w:tcBorders>
              <w:top w:val="single" w:sz="4" w:space="0" w:color="026DCE"/>
              <w:left w:val="nil"/>
              <w:bottom w:val="nil"/>
              <w:right w:val="nil"/>
            </w:tcBorders>
            <w:shd w:val="clear" w:color="auto" w:fill="FFFFFF"/>
            <w:tcMar>
              <w:top w:w="0" w:type="dxa"/>
              <w:left w:w="53" w:type="dxa"/>
              <w:bottom w:w="0" w:type="dxa"/>
              <w:right w:w="53" w:type="dxa"/>
            </w:tcMar>
          </w:tcPr>
          <w:p w14:paraId="7F9D1E12" w14:textId="77777777" w:rsidR="001D3024" w:rsidRDefault="001D3024" w:rsidP="001B288A">
            <w:pPr>
              <w:keepNext/>
              <w:spacing w:before="43" w:after="30"/>
            </w:pPr>
          </w:p>
        </w:tc>
        <w:tc>
          <w:tcPr>
            <w:tcW w:w="181" w:type="dxa"/>
            <w:tcBorders>
              <w:top w:val="nil"/>
              <w:left w:val="nil"/>
              <w:bottom w:val="nil"/>
              <w:right w:val="nil"/>
            </w:tcBorders>
            <w:shd w:val="clear" w:color="auto" w:fill="FFFFFF"/>
            <w:tcMar>
              <w:top w:w="0" w:type="dxa"/>
              <w:left w:w="53" w:type="dxa"/>
              <w:bottom w:w="0" w:type="dxa"/>
              <w:right w:w="53" w:type="dxa"/>
            </w:tcMar>
            <w:vAlign w:val="bottom"/>
          </w:tcPr>
          <w:p w14:paraId="4997A362" w14:textId="77777777" w:rsidR="001D3024" w:rsidRDefault="001D3024" w:rsidP="001B288A">
            <w:pPr>
              <w:keepNext/>
              <w:spacing w:before="43" w:after="30"/>
            </w:pPr>
          </w:p>
        </w:tc>
        <w:tc>
          <w:tcPr>
            <w:tcW w:w="4166" w:type="dxa"/>
            <w:tcBorders>
              <w:top w:val="single" w:sz="4" w:space="0" w:color="026DCE"/>
              <w:left w:val="nil"/>
              <w:bottom w:val="nil"/>
              <w:right w:val="nil"/>
            </w:tcBorders>
            <w:shd w:val="clear" w:color="auto" w:fill="FFFFFF"/>
            <w:tcMar>
              <w:top w:w="0" w:type="dxa"/>
              <w:left w:w="53" w:type="dxa"/>
              <w:bottom w:w="0" w:type="dxa"/>
              <w:right w:w="53" w:type="dxa"/>
            </w:tcMar>
          </w:tcPr>
          <w:p w14:paraId="5963B068" w14:textId="77777777" w:rsidR="001D3024" w:rsidRDefault="001D3024" w:rsidP="001B288A">
            <w:pPr>
              <w:keepNext/>
              <w:spacing w:before="43" w:after="30"/>
            </w:pPr>
          </w:p>
        </w:tc>
        <w:tc>
          <w:tcPr>
            <w:tcW w:w="181" w:type="dxa"/>
            <w:tcBorders>
              <w:top w:val="nil"/>
              <w:left w:val="nil"/>
              <w:bottom w:val="nil"/>
              <w:right w:val="nil"/>
            </w:tcBorders>
            <w:shd w:val="clear" w:color="auto" w:fill="FFFFFF"/>
            <w:tcMar>
              <w:top w:w="0" w:type="dxa"/>
              <w:left w:w="53" w:type="dxa"/>
              <w:bottom w:w="0" w:type="dxa"/>
              <w:right w:w="53" w:type="dxa"/>
            </w:tcMar>
            <w:vAlign w:val="bottom"/>
          </w:tcPr>
          <w:p w14:paraId="60735C66" w14:textId="77777777" w:rsidR="001D3024" w:rsidRDefault="001D3024" w:rsidP="001B288A">
            <w:pPr>
              <w:keepNext/>
              <w:spacing w:before="43" w:after="30"/>
            </w:pPr>
          </w:p>
        </w:tc>
        <w:tc>
          <w:tcPr>
            <w:tcW w:w="3025" w:type="dxa"/>
            <w:tcBorders>
              <w:top w:val="single" w:sz="4" w:space="0" w:color="026DCE"/>
              <w:left w:val="nil"/>
              <w:bottom w:val="nil"/>
              <w:right w:val="nil"/>
            </w:tcBorders>
            <w:shd w:val="clear" w:color="auto" w:fill="FFFFFF"/>
            <w:tcMar>
              <w:top w:w="0" w:type="dxa"/>
              <w:left w:w="53" w:type="dxa"/>
              <w:bottom w:w="0" w:type="dxa"/>
              <w:right w:w="53" w:type="dxa"/>
            </w:tcMar>
          </w:tcPr>
          <w:p w14:paraId="44AC8DFF" w14:textId="77777777" w:rsidR="001D3024" w:rsidRDefault="001D3024" w:rsidP="001B288A">
            <w:pPr>
              <w:keepNext/>
              <w:spacing w:before="43" w:after="30"/>
            </w:pPr>
          </w:p>
        </w:tc>
      </w:tr>
      <w:tr w:rsidR="001D3024" w14:paraId="56F4761D" w14:textId="77777777" w:rsidTr="00D77E9E">
        <w:trPr>
          <w:cantSplit/>
          <w:trHeight w:hRule="exact" w:val="1410"/>
        </w:trPr>
        <w:tc>
          <w:tcPr>
            <w:tcW w:w="2364" w:type="dxa"/>
            <w:tcBorders>
              <w:top w:val="nil"/>
              <w:left w:val="nil"/>
              <w:bottom w:val="single" w:sz="2" w:space="0" w:color="000000"/>
              <w:right w:val="nil"/>
            </w:tcBorders>
            <w:shd w:val="clear" w:color="auto" w:fill="FFFFFF"/>
            <w:tcMar>
              <w:top w:w="0" w:type="dxa"/>
              <w:left w:w="53" w:type="dxa"/>
              <w:bottom w:w="0" w:type="dxa"/>
              <w:right w:w="53" w:type="dxa"/>
            </w:tcMar>
          </w:tcPr>
          <w:p w14:paraId="115DD8FD" w14:textId="53D51E21" w:rsidR="001D3024" w:rsidRDefault="001E24CB" w:rsidP="001B288A">
            <w:pPr>
              <w:keepNext/>
              <w:spacing w:before="53" w:after="30"/>
            </w:pPr>
            <w:proofErr w:type="spellStart"/>
            <w:r>
              <w:rPr>
                <w:rFonts w:ascii="Calibri" w:eastAsia="Calibri" w:hAnsi="Calibri" w:cs="Calibri"/>
                <w:color w:val="000000"/>
                <w:sz w:val="21"/>
              </w:rPr>
              <w:t>Cap</w:t>
            </w:r>
            <w:r w:rsidR="001D3024">
              <w:rPr>
                <w:rFonts w:ascii="Calibri" w:eastAsia="Calibri" w:hAnsi="Calibri" w:cs="Calibri"/>
                <w:color w:val="000000"/>
                <w:sz w:val="21"/>
              </w:rPr>
              <w:t>E</w:t>
            </w:r>
            <w:r>
              <w:rPr>
                <w:rFonts w:ascii="Calibri" w:eastAsia="Calibri" w:hAnsi="Calibri" w:cs="Calibri"/>
                <w:color w:val="000000"/>
                <w:sz w:val="21"/>
              </w:rPr>
              <w:t>x</w:t>
            </w:r>
            <w:proofErr w:type="spellEnd"/>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585A2BA3" w14:textId="77777777" w:rsidR="001D3024" w:rsidRDefault="001D3024" w:rsidP="001B288A">
            <w:pPr>
              <w:keepNext/>
              <w:spacing w:before="53" w:after="30"/>
              <w:jc w:val="right"/>
            </w:pPr>
          </w:p>
        </w:tc>
        <w:tc>
          <w:tcPr>
            <w:tcW w:w="4166" w:type="dxa"/>
            <w:tcBorders>
              <w:top w:val="nil"/>
              <w:left w:val="nil"/>
              <w:bottom w:val="single" w:sz="2" w:space="0" w:color="000000"/>
              <w:right w:val="nil"/>
            </w:tcBorders>
            <w:shd w:val="clear" w:color="auto" w:fill="FFFFFF"/>
            <w:tcMar>
              <w:top w:w="0" w:type="dxa"/>
              <w:left w:w="53" w:type="dxa"/>
              <w:bottom w:w="0" w:type="dxa"/>
              <w:right w:w="53" w:type="dxa"/>
            </w:tcMar>
          </w:tcPr>
          <w:p w14:paraId="1649023B" w14:textId="77777777" w:rsidR="001D3024" w:rsidRDefault="001D3024" w:rsidP="001B288A">
            <w:pPr>
              <w:keepNext/>
              <w:spacing w:before="53" w:after="30"/>
            </w:pPr>
            <w:r>
              <w:rPr>
                <w:rFonts w:ascii="Calibri" w:eastAsia="Calibri" w:hAnsi="Calibri" w:cs="Calibri"/>
                <w:color w:val="000000"/>
                <w:sz w:val="21"/>
              </w:rPr>
              <w:t>Acquisitions/additions of property, plant and equipment, right of use assets, investment property and intangible assets</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09E74823" w14:textId="77777777" w:rsidR="001D3024" w:rsidRDefault="001D3024" w:rsidP="001B288A">
            <w:pPr>
              <w:keepNext/>
              <w:spacing w:before="53" w:after="30"/>
              <w:jc w:val="right"/>
            </w:pPr>
          </w:p>
        </w:tc>
        <w:tc>
          <w:tcPr>
            <w:tcW w:w="3025" w:type="dxa"/>
            <w:tcBorders>
              <w:top w:val="nil"/>
              <w:left w:val="nil"/>
              <w:bottom w:val="single" w:sz="2" w:space="0" w:color="000000"/>
              <w:right w:val="nil"/>
            </w:tcBorders>
            <w:shd w:val="clear" w:color="auto" w:fill="FFFFFF"/>
            <w:tcMar>
              <w:top w:w="0" w:type="dxa"/>
              <w:left w:w="53" w:type="dxa"/>
              <w:bottom w:w="0" w:type="dxa"/>
              <w:right w:w="53" w:type="dxa"/>
            </w:tcMar>
          </w:tcPr>
          <w:p w14:paraId="08C70AC2" w14:textId="77777777" w:rsidR="001D3024" w:rsidRDefault="001D3024" w:rsidP="001B288A">
            <w:pPr>
              <w:keepNext/>
              <w:spacing w:before="53" w:after="30"/>
            </w:pPr>
            <w:r>
              <w:rPr>
                <w:rFonts w:ascii="Calibri" w:eastAsia="Calibri" w:hAnsi="Calibri" w:cs="Calibri"/>
                <w:color w:val="000000"/>
                <w:sz w:val="21"/>
              </w:rPr>
              <w:t>Allows management to monitor the capital expenditure</w:t>
            </w:r>
          </w:p>
        </w:tc>
      </w:tr>
      <w:tr w:rsidR="001D3024" w14:paraId="14D5ECAD"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7B6414DE" w14:textId="77777777" w:rsidR="001D3024" w:rsidRDefault="001D3024" w:rsidP="001B288A">
            <w:pPr>
              <w:keepNext/>
              <w:spacing w:before="48" w:after="30"/>
            </w:pPr>
            <w:r>
              <w:rPr>
                <w:rFonts w:ascii="Calibri" w:eastAsia="Calibri" w:hAnsi="Calibri" w:cs="Calibri"/>
                <w:color w:val="000000"/>
                <w:sz w:val="21"/>
              </w:rPr>
              <w:t>EBITDA</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49817CC9" w14:textId="77777777" w:rsidR="001D3024" w:rsidRDefault="001D3024" w:rsidP="001B288A">
            <w:pPr>
              <w:keepNext/>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079D19D8" w14:textId="77777777" w:rsidR="001D3024" w:rsidRDefault="001D3024" w:rsidP="001B288A">
            <w:pPr>
              <w:keepNext/>
              <w:spacing w:before="48" w:after="30"/>
            </w:pPr>
            <w:r>
              <w:rPr>
                <w:rFonts w:ascii="Calibri" w:eastAsia="Calibri" w:hAnsi="Calibri" w:cs="Calibri"/>
                <w:color w:val="000000"/>
                <w:sz w:val="21"/>
              </w:rPr>
              <w:t>Operating profit before impairment losses on goodwill plus depreciation, amortization and impairment of tangible and intangible assets and amortization of government grants</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30F51962" w14:textId="77777777" w:rsidR="001D3024" w:rsidRDefault="001D3024" w:rsidP="001B288A">
            <w:pPr>
              <w:keepNext/>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45DB9AFE" w14:textId="77777777" w:rsidR="001D3024" w:rsidRDefault="001D3024" w:rsidP="001B288A">
            <w:pPr>
              <w:keepNext/>
              <w:spacing w:before="48" w:after="30"/>
            </w:pPr>
            <w:r>
              <w:rPr>
                <w:rFonts w:ascii="Calibri" w:eastAsia="Calibri" w:hAnsi="Calibri" w:cs="Calibri"/>
                <w:color w:val="000000"/>
                <w:sz w:val="21"/>
              </w:rPr>
              <w:t>Provides a measure of operating profitability that is comparable among reportable segments consistently</w:t>
            </w:r>
          </w:p>
        </w:tc>
      </w:tr>
      <w:tr w:rsidR="001D3024" w14:paraId="3626595C"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6DE559A0" w14:textId="77777777" w:rsidR="001D3024" w:rsidRDefault="001D3024" w:rsidP="001B288A">
            <w:pPr>
              <w:keepNext/>
              <w:spacing w:before="48" w:after="30"/>
            </w:pPr>
            <w:r>
              <w:rPr>
                <w:rFonts w:ascii="Calibri" w:eastAsia="Calibri" w:hAnsi="Calibri" w:cs="Calibri"/>
                <w:color w:val="000000"/>
                <w:sz w:val="21"/>
              </w:rPr>
              <w:t>Net debt</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12AC327C" w14:textId="77777777" w:rsidR="001D3024" w:rsidRDefault="001D3024" w:rsidP="001B288A">
            <w:pPr>
              <w:keepNext/>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73196D20" w14:textId="77777777" w:rsidR="001D3024" w:rsidRDefault="001D3024" w:rsidP="001B288A">
            <w:pPr>
              <w:keepNext/>
              <w:spacing w:before="48" w:after="30"/>
            </w:pPr>
            <w:r>
              <w:rPr>
                <w:rFonts w:ascii="Calibri" w:eastAsia="Calibri" w:hAnsi="Calibri" w:cs="Calibri"/>
                <w:color w:val="000000"/>
                <w:sz w:val="21"/>
              </w:rPr>
              <w:t>Sum of long-term borrowings and lease liabilities, plus short-term borrowings and lease liabilities (collectively gross debt), minus cash and cash equivalents</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317C59AA" w14:textId="77777777" w:rsidR="001D3024" w:rsidRDefault="001D3024" w:rsidP="001B288A">
            <w:pPr>
              <w:keepNext/>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0A889E1C" w14:textId="77777777" w:rsidR="001D3024" w:rsidRDefault="001D3024" w:rsidP="001B288A">
            <w:pPr>
              <w:keepNext/>
              <w:spacing w:before="48" w:after="30"/>
            </w:pPr>
            <w:r>
              <w:rPr>
                <w:rFonts w:ascii="Calibri" w:eastAsia="Calibri" w:hAnsi="Calibri" w:cs="Calibri"/>
                <w:color w:val="000000"/>
                <w:sz w:val="21"/>
              </w:rPr>
              <w:t>Allows management to monitor the indebtedness</w:t>
            </w:r>
          </w:p>
        </w:tc>
      </w:tr>
      <w:tr w:rsidR="001D3024" w14:paraId="241AA7B9"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783EF94F" w14:textId="77777777" w:rsidR="001D3024" w:rsidRDefault="001D3024" w:rsidP="001B288A">
            <w:pPr>
              <w:keepNext/>
              <w:spacing w:before="48" w:after="30"/>
            </w:pPr>
            <w:r>
              <w:rPr>
                <w:rFonts w:ascii="Calibri" w:eastAsia="Calibri" w:hAnsi="Calibri" w:cs="Calibri"/>
                <w:color w:val="000000"/>
                <w:sz w:val="21"/>
              </w:rPr>
              <w:t>NPAT</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22EF3234" w14:textId="77777777" w:rsidR="001D3024" w:rsidRDefault="001D3024" w:rsidP="001B288A">
            <w:pPr>
              <w:keepNext/>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4D65BAF3" w14:textId="77777777" w:rsidR="001D3024" w:rsidRDefault="001D3024" w:rsidP="001B288A">
            <w:pPr>
              <w:keepNext/>
              <w:spacing w:before="48" w:after="30"/>
            </w:pPr>
            <w:r>
              <w:rPr>
                <w:rFonts w:ascii="Calibri" w:eastAsia="Calibri" w:hAnsi="Calibri" w:cs="Calibri"/>
                <w:color w:val="000000"/>
                <w:sz w:val="21"/>
              </w:rPr>
              <w:t>Profit after tax attributable to equity holders of the parent</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52C1CFBF" w14:textId="77777777" w:rsidR="001D3024" w:rsidRDefault="001D3024" w:rsidP="001B288A">
            <w:pPr>
              <w:keepNext/>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704BB98F" w14:textId="77777777" w:rsidR="001D3024" w:rsidRDefault="001D3024" w:rsidP="001B288A">
            <w:pPr>
              <w:keepNext/>
              <w:spacing w:before="48" w:after="30"/>
            </w:pPr>
            <w:r>
              <w:rPr>
                <w:rFonts w:ascii="Calibri" w:eastAsia="Calibri" w:hAnsi="Calibri" w:cs="Calibri"/>
                <w:color w:val="000000"/>
                <w:sz w:val="21"/>
              </w:rPr>
              <w:t>Provides a measure of total profitability that is comparable over time</w:t>
            </w:r>
          </w:p>
        </w:tc>
      </w:tr>
      <w:tr w:rsidR="001D3024" w14:paraId="0231707B"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2DA138F4" w14:textId="77777777" w:rsidR="001D3024" w:rsidRDefault="001D3024" w:rsidP="001B288A">
            <w:pPr>
              <w:keepNext/>
              <w:spacing w:before="48" w:after="30"/>
            </w:pPr>
            <w:r>
              <w:rPr>
                <w:rFonts w:ascii="Calibri" w:eastAsia="Calibri" w:hAnsi="Calibri" w:cs="Calibri"/>
                <w:color w:val="000000"/>
                <w:sz w:val="21"/>
              </w:rPr>
              <w:t>Operating free cash flow</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1D12ACD4" w14:textId="77777777" w:rsidR="001D3024" w:rsidRDefault="001D3024" w:rsidP="001B288A">
            <w:pPr>
              <w:keepNext/>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707CFFBA" w14:textId="6908FFE9" w:rsidR="001D3024" w:rsidRDefault="001D3024" w:rsidP="001B288A">
            <w:pPr>
              <w:keepNext/>
              <w:spacing w:before="48" w:after="30"/>
            </w:pPr>
            <w:r>
              <w:rPr>
                <w:rFonts w:ascii="Calibri" w:eastAsia="Calibri" w:hAnsi="Calibri" w:cs="Calibri"/>
                <w:color w:val="000000"/>
                <w:sz w:val="21"/>
              </w:rPr>
              <w:t xml:space="preserve">Cash generated from operations minus payments for </w:t>
            </w:r>
            <w:proofErr w:type="spellStart"/>
            <w:r>
              <w:rPr>
                <w:rFonts w:ascii="Calibri" w:eastAsia="Calibri" w:hAnsi="Calibri" w:cs="Calibri"/>
                <w:color w:val="000000"/>
                <w:sz w:val="21"/>
              </w:rPr>
              <w:t>C</w:t>
            </w:r>
            <w:r w:rsidR="00FD43AB">
              <w:rPr>
                <w:rFonts w:ascii="Calibri" w:eastAsia="Calibri" w:hAnsi="Calibri" w:cs="Calibri"/>
                <w:color w:val="000000"/>
                <w:sz w:val="21"/>
              </w:rPr>
              <w:t>apEx</w:t>
            </w:r>
            <w:proofErr w:type="spellEnd"/>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066B840D" w14:textId="77777777" w:rsidR="001D3024" w:rsidRDefault="001D3024" w:rsidP="001B288A">
            <w:pPr>
              <w:keepNext/>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65B59567" w14:textId="77777777" w:rsidR="001D3024" w:rsidRDefault="001D3024" w:rsidP="001B288A">
            <w:pPr>
              <w:keepNext/>
              <w:spacing w:before="48" w:after="30"/>
            </w:pPr>
            <w:r>
              <w:rPr>
                <w:rFonts w:ascii="Calibri" w:eastAsia="Calibri" w:hAnsi="Calibri" w:cs="Calibri"/>
                <w:color w:val="000000"/>
                <w:sz w:val="21"/>
              </w:rPr>
              <w:t>Measures the capability of the Group in turning profit into cash through the management of operating cash flow and capital expenditure</w:t>
            </w:r>
          </w:p>
        </w:tc>
      </w:tr>
      <w:tr w:rsidR="001D3024" w14:paraId="318483C3"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3DB4CCEA" w14:textId="77777777" w:rsidR="001D3024" w:rsidRDefault="001D3024" w:rsidP="001B288A">
            <w:pPr>
              <w:keepNext/>
              <w:spacing w:before="48" w:after="30"/>
            </w:pPr>
            <w:r>
              <w:rPr>
                <w:rFonts w:ascii="Calibri" w:eastAsia="Calibri" w:hAnsi="Calibri" w:cs="Calibri"/>
                <w:color w:val="000000"/>
                <w:sz w:val="21"/>
              </w:rPr>
              <w:t>Operating profit before impairment losses on goodwill</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5C26099F" w14:textId="77777777" w:rsidR="001D3024" w:rsidRDefault="001D3024" w:rsidP="001B288A">
            <w:pPr>
              <w:keepNext/>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3A4BF6B9" w14:textId="77777777" w:rsidR="001D3024" w:rsidRDefault="001D3024" w:rsidP="001B288A">
            <w:pPr>
              <w:keepNext/>
              <w:spacing w:before="48" w:after="30"/>
            </w:pPr>
            <w:r>
              <w:rPr>
                <w:rFonts w:ascii="Calibri" w:eastAsia="Calibri" w:hAnsi="Calibri" w:cs="Calibri"/>
                <w:color w:val="000000"/>
                <w:sz w:val="21"/>
              </w:rPr>
              <w:t>Profit before income tax, share of gain or loss of associates and joint ventures, net finance costs and impairment losses on goodwill</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0F44E882" w14:textId="77777777" w:rsidR="001D3024" w:rsidRDefault="001D3024" w:rsidP="001B288A">
            <w:pPr>
              <w:keepNext/>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619879C6" w14:textId="77777777" w:rsidR="001D3024" w:rsidRDefault="001D3024" w:rsidP="001B288A">
            <w:pPr>
              <w:keepNext/>
              <w:spacing w:before="48" w:after="30"/>
            </w:pPr>
            <w:r>
              <w:rPr>
                <w:rFonts w:ascii="Calibri" w:eastAsia="Calibri" w:hAnsi="Calibri" w:cs="Calibri"/>
                <w:color w:val="000000"/>
                <w:sz w:val="21"/>
              </w:rPr>
              <w:t>Provides a measure of operating profitability that is comparable over time</w:t>
            </w:r>
          </w:p>
        </w:tc>
      </w:tr>
      <w:tr w:rsidR="001D3024" w14:paraId="1B962805" w14:textId="77777777" w:rsidTr="00D77E9E">
        <w:trPr>
          <w:cantSplit/>
          <w:trHeight w:hRule="exact" w:val="1410"/>
        </w:trPr>
        <w:tc>
          <w:tcPr>
            <w:tcW w:w="2364"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43BF99B8" w14:textId="77777777" w:rsidR="001D3024" w:rsidRDefault="001D3024" w:rsidP="001B288A">
            <w:pPr>
              <w:spacing w:before="48" w:after="30"/>
            </w:pPr>
            <w:r>
              <w:rPr>
                <w:rFonts w:ascii="Calibri" w:eastAsia="Calibri" w:hAnsi="Calibri" w:cs="Calibri"/>
                <w:color w:val="000000"/>
                <w:sz w:val="21"/>
              </w:rPr>
              <w:t>Operating profit</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2879056E" w14:textId="77777777" w:rsidR="001D3024" w:rsidRDefault="001D3024" w:rsidP="001B288A">
            <w:pPr>
              <w:spacing w:before="48" w:after="30"/>
              <w:jc w:val="right"/>
            </w:pPr>
          </w:p>
        </w:tc>
        <w:tc>
          <w:tcPr>
            <w:tcW w:w="4166"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45D221C8" w14:textId="77777777" w:rsidR="001D3024" w:rsidRDefault="001D3024" w:rsidP="001B288A">
            <w:pPr>
              <w:spacing w:before="48" w:after="30"/>
            </w:pPr>
            <w:r>
              <w:rPr>
                <w:rFonts w:ascii="Calibri" w:eastAsia="Calibri" w:hAnsi="Calibri" w:cs="Calibri"/>
                <w:color w:val="000000"/>
                <w:sz w:val="21"/>
              </w:rPr>
              <w:t>Profit before income tax, share of gain or loss of associates and joint ventures and net finance costs</w:t>
            </w:r>
          </w:p>
        </w:tc>
        <w:tc>
          <w:tcPr>
            <w:tcW w:w="181" w:type="dxa"/>
            <w:tcBorders>
              <w:top w:val="nil"/>
              <w:left w:val="nil"/>
              <w:bottom w:val="nil"/>
              <w:right w:val="nil"/>
            </w:tcBorders>
            <w:shd w:val="clear" w:color="auto" w:fill="FFFFFF"/>
            <w:tcMar>
              <w:top w:w="0" w:type="dxa"/>
              <w:left w:w="0" w:type="dxa"/>
              <w:bottom w:w="0" w:type="dxa"/>
              <w:right w:w="53" w:type="dxa"/>
            </w:tcMar>
            <w:vAlign w:val="bottom"/>
          </w:tcPr>
          <w:p w14:paraId="2966C0D0" w14:textId="77777777" w:rsidR="001D3024" w:rsidRDefault="001D3024" w:rsidP="001B288A">
            <w:pPr>
              <w:spacing w:before="48" w:after="30"/>
              <w:jc w:val="right"/>
            </w:pPr>
          </w:p>
        </w:tc>
        <w:tc>
          <w:tcPr>
            <w:tcW w:w="3025" w:type="dxa"/>
            <w:tcBorders>
              <w:top w:val="single" w:sz="2" w:space="0" w:color="000000"/>
              <w:left w:val="nil"/>
              <w:bottom w:val="single" w:sz="2" w:space="0" w:color="000000"/>
              <w:right w:val="nil"/>
            </w:tcBorders>
            <w:shd w:val="clear" w:color="auto" w:fill="FFFFFF"/>
            <w:tcMar>
              <w:top w:w="0" w:type="dxa"/>
              <w:left w:w="53" w:type="dxa"/>
              <w:bottom w:w="0" w:type="dxa"/>
              <w:right w:w="53" w:type="dxa"/>
            </w:tcMar>
          </w:tcPr>
          <w:p w14:paraId="65FFA628" w14:textId="77777777" w:rsidR="001D3024" w:rsidRDefault="001D3024" w:rsidP="001B288A">
            <w:pPr>
              <w:spacing w:before="48" w:after="30"/>
            </w:pPr>
            <w:r>
              <w:rPr>
                <w:rFonts w:ascii="Calibri" w:eastAsia="Calibri" w:hAnsi="Calibri" w:cs="Calibri"/>
                <w:color w:val="000000"/>
                <w:sz w:val="21"/>
              </w:rPr>
              <w:t>Provides a measure of operating profitability that is comparable over time</w:t>
            </w:r>
          </w:p>
        </w:tc>
      </w:tr>
    </w:tbl>
    <w:p w14:paraId="6A8A1956" w14:textId="77777777" w:rsidR="001D3024" w:rsidRDefault="001D3024" w:rsidP="001D3024">
      <w:pPr>
        <w:spacing w:line="288" w:lineRule="auto"/>
        <w:rPr>
          <w:rFonts w:ascii="Arial" w:eastAsia="Arial" w:hAnsi="Arial" w:cs="Arial"/>
        </w:rPr>
      </w:pPr>
    </w:p>
    <w:p w14:paraId="3A42C56E" w14:textId="77777777" w:rsidR="007B10E9" w:rsidRPr="0087712A" w:rsidRDefault="007B10E9" w:rsidP="007B10E9">
      <w:pPr>
        <w:spacing w:line="288" w:lineRule="auto"/>
        <w:rPr>
          <w:rFonts w:ascii="Calibri" w:eastAsia="Arial" w:hAnsi="Calibri" w:cs="Calibri"/>
        </w:rPr>
      </w:pPr>
    </w:p>
    <w:p w14:paraId="2E9CE11B" w14:textId="77777777" w:rsidR="007B10E9" w:rsidRDefault="007B10E9" w:rsidP="007B10E9">
      <w:pPr>
        <w:spacing w:line="288" w:lineRule="auto"/>
        <w:rPr>
          <w:rFonts w:ascii="Calibri" w:eastAsia="Arial" w:hAnsi="Calibri" w:cs="Calibri"/>
        </w:rPr>
      </w:pPr>
    </w:p>
    <w:p w14:paraId="433486D8" w14:textId="77777777" w:rsidR="001D3024" w:rsidRDefault="001D3024" w:rsidP="007B10E9">
      <w:pPr>
        <w:spacing w:line="288" w:lineRule="auto"/>
        <w:rPr>
          <w:rFonts w:ascii="Calibri" w:eastAsia="Arial" w:hAnsi="Calibri" w:cs="Calibri"/>
        </w:rPr>
      </w:pPr>
    </w:p>
    <w:p w14:paraId="37A7C35C" w14:textId="77777777" w:rsidR="001D3024" w:rsidRDefault="001D3024" w:rsidP="007B10E9">
      <w:pPr>
        <w:spacing w:line="288" w:lineRule="auto"/>
        <w:rPr>
          <w:rFonts w:ascii="Calibri" w:eastAsia="Arial" w:hAnsi="Calibri" w:cs="Calibri"/>
        </w:rPr>
      </w:pPr>
    </w:p>
    <w:p w14:paraId="73C780F2" w14:textId="77777777" w:rsidR="001D3024" w:rsidRPr="0087712A" w:rsidRDefault="001D3024" w:rsidP="007B10E9">
      <w:pPr>
        <w:spacing w:line="288" w:lineRule="auto"/>
        <w:rPr>
          <w:rFonts w:ascii="Calibri" w:eastAsia="Arial" w:hAnsi="Calibri" w:cs="Calibri"/>
        </w:rPr>
      </w:pPr>
    </w:p>
    <w:p w14:paraId="5374A1F9" w14:textId="77777777" w:rsidR="007B10E9" w:rsidRPr="0087712A" w:rsidRDefault="007B10E9" w:rsidP="007B10E9">
      <w:pPr>
        <w:spacing w:line="288" w:lineRule="auto"/>
        <w:rPr>
          <w:rFonts w:ascii="Calibri" w:eastAsia="Arial" w:hAnsi="Calibri" w:cs="Calibri"/>
        </w:rPr>
      </w:pPr>
    </w:p>
    <w:p w14:paraId="3C76AD24" w14:textId="77777777" w:rsidR="007B10E9" w:rsidRPr="0087712A" w:rsidRDefault="007B10E9" w:rsidP="007B10E9">
      <w:pPr>
        <w:spacing w:line="288" w:lineRule="auto"/>
        <w:rPr>
          <w:rFonts w:ascii="Calibri" w:eastAsia="Arial" w:hAnsi="Calibri" w:cs="Calibri"/>
        </w:rPr>
      </w:pPr>
    </w:p>
    <w:p w14:paraId="47C074E2" w14:textId="77777777" w:rsidR="004A7016" w:rsidRPr="0087712A" w:rsidRDefault="004A7016" w:rsidP="004A7016">
      <w:pPr>
        <w:pStyle w:val="C"/>
        <w:spacing w:line="240" w:lineRule="auto"/>
        <w:jc w:val="both"/>
        <w:rPr>
          <w:rFonts w:cs="Calibri"/>
        </w:rPr>
      </w:pPr>
      <w:r w:rsidRPr="0087712A">
        <w:rPr>
          <w:rFonts w:cs="Calibri"/>
          <w:noProof/>
          <w:lang w:val="en-US"/>
        </w:rPr>
        <mc:AlternateContent>
          <mc:Choice Requires="wps">
            <w:drawing>
              <wp:anchor distT="0" distB="0" distL="114300" distR="114300" simplePos="0" relativeHeight="251658241" behindDoc="0" locked="0" layoutInCell="1" allowOverlap="1" wp14:anchorId="7EDA7385" wp14:editId="1D8EA736">
                <wp:simplePos x="0" y="0"/>
                <wp:positionH relativeFrom="column">
                  <wp:posOffset>1362</wp:posOffset>
                </wp:positionH>
                <wp:positionV relativeFrom="paragraph">
                  <wp:posOffset>234332</wp:posOffset>
                </wp:positionV>
                <wp:extent cx="6104121" cy="0"/>
                <wp:effectExtent l="0" t="0" r="17780" b="12700"/>
                <wp:wrapNone/>
                <wp:docPr id="25" name="Straight Connector 25"/>
                <wp:cNvGraphicFramePr/>
                <a:graphic xmlns:a="http://schemas.openxmlformats.org/drawingml/2006/main">
                  <a:graphicData uri="http://schemas.microsoft.com/office/word/2010/wordprocessingShape">
                    <wps:wsp>
                      <wps:cNvCnPr/>
                      <wps:spPr>
                        <a:xfrm>
                          <a:off x="0" y="0"/>
                          <a:ext cx="6104121"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793D4" id="Straight Connector 2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45pt" to="480.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" strokecolor="#00183d" strokeweight=".25pt"/>
            </w:pict>
          </mc:Fallback>
        </mc:AlternateContent>
      </w:r>
      <w:r w:rsidRPr="0087712A">
        <w:rPr>
          <w:rFonts w:cs="Calibri"/>
        </w:rPr>
        <w:t>Financial Calendar</w:t>
      </w:r>
    </w:p>
    <w:tbl>
      <w:tblPr>
        <w:tblStyle w:val="GridTable1Light-Accent6"/>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26"/>
        <w:gridCol w:w="8172"/>
      </w:tblGrid>
      <w:tr w:rsidR="007F65A0" w:rsidRPr="0087712A" w14:paraId="33D90BE0" w14:textId="77777777" w:rsidTr="00FD7C58">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618" w:type="dxa"/>
            <w:tcBorders>
              <w:bottom w:val="none" w:sz="0" w:space="0" w:color="auto"/>
            </w:tcBorders>
            <w:noWrap/>
          </w:tcPr>
          <w:p w14:paraId="3D50D280" w14:textId="77777777" w:rsidR="007F65A0" w:rsidRPr="0087712A" w:rsidRDefault="007F65A0" w:rsidP="00E47E74">
            <w:pPr>
              <w:jc w:val="both"/>
              <w:rPr>
                <w:rFonts w:ascii="Calibri" w:hAnsi="Calibri" w:cs="Calibri"/>
                <w:color w:val="00183D"/>
                <w:sz w:val="22"/>
                <w:szCs w:val="22"/>
              </w:rPr>
            </w:pPr>
          </w:p>
        </w:tc>
        <w:tc>
          <w:tcPr>
            <w:tcW w:w="8164" w:type="dxa"/>
            <w:tcBorders>
              <w:bottom w:val="none" w:sz="0" w:space="0" w:color="auto"/>
            </w:tcBorders>
            <w:noWrap/>
          </w:tcPr>
          <w:p w14:paraId="60A84E84" w14:textId="77777777" w:rsidR="007F65A0" w:rsidRPr="0087712A" w:rsidRDefault="007F65A0" w:rsidP="00E47E74">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183D"/>
                <w:sz w:val="22"/>
                <w:szCs w:val="22"/>
              </w:rPr>
            </w:pPr>
          </w:p>
        </w:tc>
      </w:tr>
      <w:tr w:rsidR="005E5B10" w:rsidRPr="0087712A" w14:paraId="0F35A0E9" w14:textId="77777777" w:rsidTr="00FD7C58">
        <w:trPr>
          <w:trHeight w:val="720"/>
        </w:trPr>
        <w:tc>
          <w:tcPr>
            <w:cnfStyle w:val="001000000000" w:firstRow="0" w:lastRow="0" w:firstColumn="1" w:lastColumn="0" w:oddVBand="0" w:evenVBand="0" w:oddHBand="0" w:evenHBand="0" w:firstRowFirstColumn="0" w:firstRowLastColumn="0" w:lastRowFirstColumn="0" w:lastRowLastColumn="0"/>
            <w:tcW w:w="1618" w:type="dxa"/>
            <w:noWrap/>
            <w:hideMark/>
          </w:tcPr>
          <w:p w14:paraId="28A955C3" w14:textId="7CF862C0" w:rsidR="005E5B10" w:rsidRPr="0087712A" w:rsidRDefault="00D54D60" w:rsidP="005E5B10">
            <w:pPr>
              <w:jc w:val="both"/>
              <w:rPr>
                <w:rFonts w:ascii="Calibri" w:hAnsi="Calibri" w:cs="Calibri"/>
                <w:color w:val="00183D"/>
                <w:sz w:val="21"/>
                <w:szCs w:val="21"/>
              </w:rPr>
            </w:pPr>
            <w:r w:rsidRPr="0087712A">
              <w:rPr>
                <w:rFonts w:ascii="Calibri" w:hAnsi="Calibri" w:cs="Calibri"/>
                <w:color w:val="00183D"/>
                <w:sz w:val="21"/>
                <w:szCs w:val="21"/>
                <w:lang w:val="el-GR"/>
              </w:rPr>
              <w:t>06</w:t>
            </w:r>
            <w:r w:rsidR="005E5B10" w:rsidRPr="0087712A">
              <w:rPr>
                <w:rFonts w:ascii="Calibri" w:hAnsi="Calibri" w:cs="Calibri"/>
                <w:color w:val="00183D"/>
                <w:sz w:val="21"/>
                <w:szCs w:val="21"/>
              </w:rPr>
              <w:t xml:space="preserve"> </w:t>
            </w:r>
            <w:r w:rsidRPr="0087712A">
              <w:rPr>
                <w:rFonts w:ascii="Calibri" w:hAnsi="Calibri" w:cs="Calibri"/>
                <w:color w:val="00183D"/>
                <w:sz w:val="21"/>
                <w:szCs w:val="21"/>
              </w:rPr>
              <w:t>April</w:t>
            </w:r>
            <w:r w:rsidR="005E5B10" w:rsidRPr="0087712A">
              <w:rPr>
                <w:rFonts w:ascii="Calibri" w:hAnsi="Calibri" w:cs="Calibri"/>
                <w:color w:val="00183D"/>
                <w:sz w:val="21"/>
                <w:szCs w:val="21"/>
              </w:rPr>
              <w:t xml:space="preserve"> 202</w:t>
            </w:r>
            <w:r w:rsidR="005D2F21" w:rsidRPr="0087712A">
              <w:rPr>
                <w:rFonts w:ascii="Calibri" w:hAnsi="Calibri" w:cs="Calibri"/>
                <w:color w:val="00183D"/>
                <w:sz w:val="21"/>
                <w:szCs w:val="21"/>
              </w:rPr>
              <w:t>3</w:t>
            </w:r>
          </w:p>
        </w:tc>
        <w:tc>
          <w:tcPr>
            <w:tcW w:w="8164" w:type="dxa"/>
            <w:noWrap/>
            <w:hideMark/>
          </w:tcPr>
          <w:p w14:paraId="034BD4F6" w14:textId="30CBC9F0" w:rsidR="005E5B10" w:rsidRPr="0087712A" w:rsidRDefault="005E5B10" w:rsidP="005E5B1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183D"/>
                <w:sz w:val="21"/>
                <w:szCs w:val="21"/>
              </w:rPr>
            </w:pPr>
            <w:r w:rsidRPr="0087712A">
              <w:rPr>
                <w:rFonts w:ascii="Calibri" w:hAnsi="Calibri" w:cs="Calibri"/>
                <w:color w:val="00183D"/>
                <w:sz w:val="21"/>
                <w:szCs w:val="21"/>
              </w:rPr>
              <w:t>Publication of the Integrated Annual Report 202</w:t>
            </w:r>
            <w:r w:rsidR="005D2F21" w:rsidRPr="0087712A">
              <w:rPr>
                <w:rFonts w:ascii="Calibri" w:hAnsi="Calibri" w:cs="Calibri"/>
                <w:color w:val="00183D"/>
                <w:sz w:val="21"/>
                <w:szCs w:val="21"/>
              </w:rPr>
              <w:t>2</w:t>
            </w:r>
          </w:p>
        </w:tc>
      </w:tr>
      <w:tr w:rsidR="005E5B10" w:rsidRPr="0087712A" w14:paraId="62FACCC2" w14:textId="77777777" w:rsidTr="005E5B10">
        <w:trPr>
          <w:trHeight w:val="720"/>
        </w:trPr>
        <w:tc>
          <w:tcPr>
            <w:cnfStyle w:val="001000000000" w:firstRow="0" w:lastRow="0" w:firstColumn="1" w:lastColumn="0" w:oddVBand="0" w:evenVBand="0" w:oddHBand="0" w:evenHBand="0" w:firstRowFirstColumn="0" w:firstRowLastColumn="0" w:lastRowFirstColumn="0" w:lastRowLastColumn="0"/>
            <w:tcW w:w="1618" w:type="dxa"/>
            <w:noWrap/>
            <w:hideMark/>
          </w:tcPr>
          <w:p w14:paraId="176ABF53" w14:textId="2CD3BD1F" w:rsidR="00511FAC" w:rsidRPr="0087712A" w:rsidRDefault="005E5B10" w:rsidP="005E5B10">
            <w:pPr>
              <w:jc w:val="both"/>
              <w:rPr>
                <w:rFonts w:ascii="Calibri" w:hAnsi="Calibri" w:cs="Calibri"/>
                <w:b w:val="0"/>
                <w:bCs w:val="0"/>
                <w:color w:val="00183D"/>
                <w:sz w:val="21"/>
                <w:szCs w:val="21"/>
              </w:rPr>
            </w:pPr>
            <w:r w:rsidRPr="0087712A">
              <w:rPr>
                <w:rFonts w:ascii="Calibri" w:hAnsi="Calibri" w:cs="Calibri"/>
                <w:color w:val="00183D"/>
                <w:sz w:val="21"/>
                <w:szCs w:val="21"/>
              </w:rPr>
              <w:t>1</w:t>
            </w:r>
            <w:r w:rsidR="00141BE4" w:rsidRPr="0087712A">
              <w:rPr>
                <w:rFonts w:ascii="Calibri" w:hAnsi="Calibri" w:cs="Calibri"/>
                <w:color w:val="00183D"/>
                <w:sz w:val="21"/>
                <w:szCs w:val="21"/>
              </w:rPr>
              <w:t>1</w:t>
            </w:r>
            <w:r w:rsidRPr="0087712A">
              <w:rPr>
                <w:rFonts w:ascii="Calibri" w:hAnsi="Calibri" w:cs="Calibri"/>
                <w:color w:val="00183D"/>
                <w:sz w:val="21"/>
                <w:szCs w:val="21"/>
              </w:rPr>
              <w:t xml:space="preserve"> May 202</w:t>
            </w:r>
            <w:r w:rsidR="00511FAC" w:rsidRPr="0087712A">
              <w:rPr>
                <w:rFonts w:ascii="Calibri" w:hAnsi="Calibri" w:cs="Calibri"/>
                <w:color w:val="00183D"/>
                <w:sz w:val="21"/>
                <w:szCs w:val="21"/>
              </w:rPr>
              <w:t>3</w:t>
            </w:r>
          </w:p>
        </w:tc>
        <w:tc>
          <w:tcPr>
            <w:tcW w:w="8164" w:type="dxa"/>
            <w:noWrap/>
            <w:hideMark/>
          </w:tcPr>
          <w:p w14:paraId="753A91DD" w14:textId="2D352749" w:rsidR="005E5B10" w:rsidRPr="0087712A" w:rsidRDefault="005E5B10" w:rsidP="005E5B1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183D"/>
                <w:sz w:val="21"/>
                <w:szCs w:val="21"/>
              </w:rPr>
            </w:pPr>
            <w:r w:rsidRPr="0087712A">
              <w:rPr>
                <w:rFonts w:ascii="Calibri" w:hAnsi="Calibri" w:cs="Calibri"/>
                <w:color w:val="00183D"/>
                <w:sz w:val="21"/>
                <w:szCs w:val="21"/>
              </w:rPr>
              <w:t>Publication of the first quarter 202</w:t>
            </w:r>
            <w:r w:rsidR="00141BE4" w:rsidRPr="0087712A">
              <w:rPr>
                <w:rFonts w:ascii="Calibri" w:hAnsi="Calibri" w:cs="Calibri"/>
                <w:color w:val="00183D"/>
                <w:sz w:val="21"/>
                <w:szCs w:val="21"/>
              </w:rPr>
              <w:t>3</w:t>
            </w:r>
            <w:r w:rsidRPr="0087712A">
              <w:rPr>
                <w:rFonts w:ascii="Calibri" w:hAnsi="Calibri" w:cs="Calibri"/>
                <w:color w:val="00183D"/>
                <w:sz w:val="21"/>
                <w:szCs w:val="21"/>
              </w:rPr>
              <w:t xml:space="preserve"> results </w:t>
            </w:r>
          </w:p>
        </w:tc>
      </w:tr>
      <w:tr w:rsidR="005E5B10" w:rsidRPr="0087712A" w14:paraId="0025307E" w14:textId="77777777" w:rsidTr="005E5B10">
        <w:trPr>
          <w:trHeight w:val="720"/>
        </w:trPr>
        <w:tc>
          <w:tcPr>
            <w:cnfStyle w:val="001000000000" w:firstRow="0" w:lastRow="0" w:firstColumn="1" w:lastColumn="0" w:oddVBand="0" w:evenVBand="0" w:oddHBand="0" w:evenHBand="0" w:firstRowFirstColumn="0" w:firstRowLastColumn="0" w:lastRowFirstColumn="0" w:lastRowLastColumn="0"/>
            <w:tcW w:w="1618" w:type="dxa"/>
            <w:noWrap/>
            <w:hideMark/>
          </w:tcPr>
          <w:p w14:paraId="4A8E29E2" w14:textId="10E490FF" w:rsidR="005E5B10" w:rsidRPr="0087712A" w:rsidRDefault="005E5B10" w:rsidP="005E5B10">
            <w:pPr>
              <w:jc w:val="both"/>
              <w:rPr>
                <w:rFonts w:ascii="Calibri" w:hAnsi="Calibri" w:cs="Calibri"/>
                <w:color w:val="00183D"/>
                <w:sz w:val="21"/>
                <w:szCs w:val="21"/>
              </w:rPr>
            </w:pPr>
            <w:r w:rsidRPr="0087712A">
              <w:rPr>
                <w:rFonts w:ascii="Calibri" w:hAnsi="Calibri" w:cs="Calibri"/>
                <w:color w:val="00183D"/>
                <w:sz w:val="21"/>
                <w:szCs w:val="21"/>
              </w:rPr>
              <w:t>1</w:t>
            </w:r>
            <w:r w:rsidR="003505AA" w:rsidRPr="0087712A">
              <w:rPr>
                <w:rFonts w:ascii="Calibri" w:hAnsi="Calibri" w:cs="Calibri"/>
                <w:color w:val="00183D"/>
                <w:sz w:val="21"/>
                <w:szCs w:val="21"/>
              </w:rPr>
              <w:t>1</w:t>
            </w:r>
            <w:r w:rsidRPr="0087712A">
              <w:rPr>
                <w:rFonts w:ascii="Calibri" w:hAnsi="Calibri" w:cs="Calibri"/>
                <w:color w:val="00183D"/>
                <w:sz w:val="21"/>
                <w:szCs w:val="21"/>
              </w:rPr>
              <w:t xml:space="preserve"> May 202</w:t>
            </w:r>
            <w:r w:rsidR="00511FAC" w:rsidRPr="0087712A">
              <w:rPr>
                <w:rFonts w:ascii="Calibri" w:hAnsi="Calibri" w:cs="Calibri"/>
                <w:color w:val="00183D"/>
                <w:sz w:val="21"/>
                <w:szCs w:val="21"/>
              </w:rPr>
              <w:t>3</w:t>
            </w:r>
          </w:p>
        </w:tc>
        <w:tc>
          <w:tcPr>
            <w:tcW w:w="8164" w:type="dxa"/>
            <w:noWrap/>
            <w:hideMark/>
          </w:tcPr>
          <w:p w14:paraId="4AE9A329" w14:textId="77777777" w:rsidR="005E5B10" w:rsidRPr="0087712A" w:rsidRDefault="005E5B10" w:rsidP="005E5B1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183D"/>
                <w:sz w:val="21"/>
                <w:szCs w:val="21"/>
              </w:rPr>
            </w:pPr>
            <w:r w:rsidRPr="0087712A">
              <w:rPr>
                <w:rFonts w:ascii="Calibri" w:hAnsi="Calibri" w:cs="Calibri"/>
                <w:color w:val="00183D"/>
                <w:sz w:val="21"/>
                <w:szCs w:val="21"/>
              </w:rPr>
              <w:t>Annual General Meeting of Shareholders</w:t>
            </w:r>
          </w:p>
        </w:tc>
      </w:tr>
      <w:tr w:rsidR="005E5B10" w:rsidRPr="0087712A" w14:paraId="1BF84878" w14:textId="77777777" w:rsidTr="005E5B10">
        <w:trPr>
          <w:trHeight w:val="720"/>
        </w:trPr>
        <w:tc>
          <w:tcPr>
            <w:cnfStyle w:val="001000000000" w:firstRow="0" w:lastRow="0" w:firstColumn="1" w:lastColumn="0" w:oddVBand="0" w:evenVBand="0" w:oddHBand="0" w:evenHBand="0" w:firstRowFirstColumn="0" w:firstRowLastColumn="0" w:lastRowFirstColumn="0" w:lastRowLastColumn="0"/>
            <w:tcW w:w="1618" w:type="dxa"/>
            <w:noWrap/>
            <w:hideMark/>
          </w:tcPr>
          <w:p w14:paraId="2DC20806" w14:textId="7D53593B" w:rsidR="005E5B10" w:rsidRPr="0087712A" w:rsidRDefault="005E5B10" w:rsidP="005E5B10">
            <w:pPr>
              <w:jc w:val="both"/>
              <w:rPr>
                <w:rFonts w:ascii="Calibri" w:hAnsi="Calibri" w:cs="Calibri"/>
                <w:color w:val="00183D"/>
                <w:sz w:val="21"/>
                <w:szCs w:val="21"/>
              </w:rPr>
            </w:pPr>
            <w:r w:rsidRPr="0087712A">
              <w:rPr>
                <w:rFonts w:ascii="Calibri" w:hAnsi="Calibri" w:cs="Calibri"/>
                <w:color w:val="00183D"/>
                <w:sz w:val="21"/>
                <w:szCs w:val="21"/>
              </w:rPr>
              <w:t>2</w:t>
            </w:r>
            <w:r w:rsidR="003505AA" w:rsidRPr="0087712A">
              <w:rPr>
                <w:rFonts w:ascii="Calibri" w:hAnsi="Calibri" w:cs="Calibri"/>
                <w:color w:val="00183D"/>
                <w:sz w:val="21"/>
                <w:szCs w:val="21"/>
              </w:rPr>
              <w:t>7</w:t>
            </w:r>
            <w:r w:rsidRPr="0087712A">
              <w:rPr>
                <w:rFonts w:ascii="Calibri" w:hAnsi="Calibri" w:cs="Calibri"/>
                <w:color w:val="00183D"/>
                <w:sz w:val="21"/>
                <w:szCs w:val="21"/>
              </w:rPr>
              <w:t xml:space="preserve"> July 202</w:t>
            </w:r>
            <w:r w:rsidR="00511FAC" w:rsidRPr="0087712A">
              <w:rPr>
                <w:rFonts w:ascii="Calibri" w:hAnsi="Calibri" w:cs="Calibri"/>
                <w:color w:val="00183D"/>
                <w:sz w:val="21"/>
                <w:szCs w:val="21"/>
              </w:rPr>
              <w:t>3</w:t>
            </w:r>
          </w:p>
        </w:tc>
        <w:tc>
          <w:tcPr>
            <w:tcW w:w="8164" w:type="dxa"/>
            <w:noWrap/>
            <w:hideMark/>
          </w:tcPr>
          <w:p w14:paraId="07BA9524" w14:textId="2688A26C" w:rsidR="005E5B10" w:rsidRPr="0087712A" w:rsidRDefault="005E5B10" w:rsidP="005E5B1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183D"/>
                <w:sz w:val="21"/>
                <w:szCs w:val="21"/>
              </w:rPr>
            </w:pPr>
            <w:r w:rsidRPr="0087712A">
              <w:rPr>
                <w:rFonts w:ascii="Calibri" w:hAnsi="Calibri" w:cs="Calibri"/>
                <w:color w:val="00183D"/>
                <w:sz w:val="21"/>
                <w:szCs w:val="21"/>
              </w:rPr>
              <w:t>Publication of the second quarter and half year 202</w:t>
            </w:r>
            <w:r w:rsidR="003505AA" w:rsidRPr="0087712A">
              <w:rPr>
                <w:rFonts w:ascii="Calibri" w:hAnsi="Calibri" w:cs="Calibri"/>
                <w:color w:val="00183D"/>
                <w:sz w:val="21"/>
                <w:szCs w:val="21"/>
              </w:rPr>
              <w:t>3</w:t>
            </w:r>
            <w:r w:rsidRPr="0087712A">
              <w:rPr>
                <w:rFonts w:ascii="Calibri" w:hAnsi="Calibri" w:cs="Calibri"/>
                <w:color w:val="00183D"/>
                <w:sz w:val="21"/>
                <w:szCs w:val="21"/>
              </w:rPr>
              <w:t xml:space="preserve"> results </w:t>
            </w:r>
          </w:p>
        </w:tc>
      </w:tr>
    </w:tbl>
    <w:p w14:paraId="1F00D486" w14:textId="77777777" w:rsidR="004A7016" w:rsidRPr="0087712A" w:rsidRDefault="004A7016" w:rsidP="004A7016">
      <w:pPr>
        <w:pStyle w:val="Copy"/>
        <w:jc w:val="both"/>
        <w:rPr>
          <w:rFonts w:ascii="Calibri" w:eastAsia="Times New Roman" w:hAnsi="Calibri" w:cs="Calibri"/>
          <w:lang w:val="en-US" w:eastAsia="el-GR"/>
        </w:rPr>
      </w:pPr>
    </w:p>
    <w:p w14:paraId="7DE5E39B" w14:textId="77777777" w:rsidR="004A7016" w:rsidRPr="0087712A" w:rsidRDefault="004A7016" w:rsidP="004A7016">
      <w:pPr>
        <w:pStyle w:val="Copy-bullets"/>
        <w:jc w:val="both"/>
        <w:rPr>
          <w:rFonts w:ascii="Calibri" w:hAnsi="Calibri" w:cs="Calibri"/>
        </w:rPr>
      </w:pPr>
      <w:r w:rsidRPr="0087712A">
        <w:rPr>
          <w:rFonts w:ascii="Calibri" w:hAnsi="Calibri" w:cs="Calibri"/>
        </w:rPr>
        <w:t xml:space="preserve">This press release may be </w:t>
      </w:r>
      <w:r w:rsidR="00D13F40" w:rsidRPr="0087712A">
        <w:rPr>
          <w:rFonts w:ascii="Calibri" w:hAnsi="Calibri" w:cs="Calibri"/>
        </w:rPr>
        <w:t>accessed</w:t>
      </w:r>
      <w:r w:rsidRPr="0087712A">
        <w:rPr>
          <w:rFonts w:ascii="Calibri" w:hAnsi="Calibri" w:cs="Calibri"/>
        </w:rPr>
        <w:t xml:space="preserve"> on the website of Titan Cement International SA via this link                          </w:t>
      </w:r>
      <w:hyperlink r:id="rId23" w:history="1">
        <w:r w:rsidRPr="0087712A">
          <w:rPr>
            <w:rFonts w:ascii="Calibri" w:hAnsi="Calibri" w:cs="Calibri"/>
            <w:color w:val="00AAD6"/>
          </w:rPr>
          <w:t>https://ir.titan-cement.com</w:t>
        </w:r>
      </w:hyperlink>
      <w:r w:rsidRPr="0087712A">
        <w:rPr>
          <w:rFonts w:ascii="Calibri" w:hAnsi="Calibri" w:cs="Calibri"/>
          <w:color w:val="00AAD6"/>
        </w:rPr>
        <w:t xml:space="preserve"> </w:t>
      </w:r>
    </w:p>
    <w:p w14:paraId="7759A3B9" w14:textId="77777777" w:rsidR="004A7016" w:rsidRPr="0087712A" w:rsidRDefault="004A7016" w:rsidP="004A7016">
      <w:pPr>
        <w:pStyle w:val="Copy-bullets"/>
        <w:jc w:val="both"/>
        <w:rPr>
          <w:rFonts w:ascii="Calibri" w:hAnsi="Calibri" w:cs="Calibri"/>
        </w:rPr>
      </w:pPr>
      <w:r w:rsidRPr="0087712A">
        <w:rPr>
          <w:rFonts w:ascii="Calibri" w:hAnsi="Calibri" w:cs="Calibri"/>
        </w:rPr>
        <w:t>For further information, please contact Investor Relations at +30 210 2591 257</w:t>
      </w:r>
    </w:p>
    <w:p w14:paraId="44EAD822" w14:textId="6ADA9EB3" w:rsidR="00825A39" w:rsidRPr="0087712A" w:rsidRDefault="00825A39" w:rsidP="005E5B10">
      <w:pPr>
        <w:pStyle w:val="Copy-bullets"/>
        <w:rPr>
          <w:rFonts w:ascii="Calibri" w:hAnsi="Calibri" w:cs="Calibri"/>
          <w:color w:val="00AAD6"/>
        </w:rPr>
      </w:pPr>
      <w:r w:rsidRPr="0087712A">
        <w:rPr>
          <w:rFonts w:ascii="Calibri" w:hAnsi="Calibri" w:cs="Calibri"/>
        </w:rPr>
        <w:t xml:space="preserve">An analyst call will be held at 15:00 CET, please see: </w:t>
      </w:r>
      <w:hyperlink r:id="rId24" w:history="1">
        <w:r w:rsidR="00D54D60" w:rsidRPr="0087712A">
          <w:rPr>
            <w:rFonts w:ascii="Calibri" w:hAnsi="Calibri" w:cs="Calibri"/>
            <w:color w:val="00AAD6"/>
          </w:rPr>
          <w:t>https://87399.themediaframe.eu/links/titan230322.html</w:t>
        </w:r>
      </w:hyperlink>
      <w:r w:rsidR="00D54D60" w:rsidRPr="0087712A">
        <w:rPr>
          <w:rFonts w:ascii="Calibri" w:hAnsi="Calibri" w:cs="Calibri"/>
          <w:color w:val="00AAD6"/>
        </w:rPr>
        <w:t xml:space="preserve"> </w:t>
      </w:r>
    </w:p>
    <w:p w14:paraId="6631DDA4" w14:textId="77777777" w:rsidR="007760E0" w:rsidRPr="00CC1C01" w:rsidRDefault="007760E0" w:rsidP="007760E0">
      <w:pPr>
        <w:autoSpaceDE w:val="0"/>
        <w:autoSpaceDN w:val="0"/>
        <w:adjustRightInd w:val="0"/>
        <w:rPr>
          <w:rFonts w:ascii="Arial" w:eastAsiaTheme="minorEastAsia" w:hAnsi="Arial" w:cs="Arial"/>
          <w:color w:val="000000"/>
        </w:rPr>
      </w:pPr>
    </w:p>
    <w:p w14:paraId="615EE743" w14:textId="109C0AD6" w:rsidR="007760E0" w:rsidRDefault="007760E0" w:rsidP="007760E0">
      <w:pPr>
        <w:pStyle w:val="Copy-bullets"/>
        <w:jc w:val="both"/>
        <w:rPr>
          <w:rFonts w:ascii="Calibri" w:eastAsia="Times New Roman" w:hAnsi="Calibri" w:cs="Calibri"/>
          <w:szCs w:val="21"/>
          <w:lang w:val="en-US"/>
        </w:rPr>
      </w:pPr>
      <w:r w:rsidRPr="007760E0">
        <w:rPr>
          <w:rFonts w:ascii="Calibri" w:eastAsia="Times New Roman" w:hAnsi="Calibri" w:cs="Calibri"/>
          <w:szCs w:val="21"/>
          <w:lang w:val="en-US"/>
        </w:rPr>
        <w:t xml:space="preserve">The statutory auditor, PwC </w:t>
      </w:r>
      <w:proofErr w:type="spellStart"/>
      <w:r w:rsidRPr="007760E0">
        <w:rPr>
          <w:rFonts w:ascii="Calibri" w:eastAsia="Times New Roman" w:hAnsi="Calibri" w:cs="Calibri"/>
          <w:szCs w:val="21"/>
          <w:lang w:val="en-US"/>
        </w:rPr>
        <w:t>Bedrijfsrevisoren</w:t>
      </w:r>
      <w:proofErr w:type="spellEnd"/>
      <w:r w:rsidRPr="007760E0">
        <w:rPr>
          <w:rFonts w:ascii="Calibri" w:eastAsia="Times New Roman" w:hAnsi="Calibri" w:cs="Calibri"/>
          <w:szCs w:val="21"/>
          <w:lang w:val="en-US"/>
        </w:rPr>
        <w:t xml:space="preserve"> BV, represented by </w:t>
      </w:r>
      <w:proofErr w:type="spellStart"/>
      <w:r w:rsidRPr="007760E0">
        <w:rPr>
          <w:rFonts w:ascii="Calibri" w:eastAsia="Times New Roman" w:hAnsi="Calibri" w:cs="Calibri"/>
          <w:szCs w:val="21"/>
          <w:lang w:val="en-US"/>
        </w:rPr>
        <w:t>Mr</w:t>
      </w:r>
      <w:proofErr w:type="spellEnd"/>
      <w:r w:rsidRPr="007760E0">
        <w:rPr>
          <w:rFonts w:ascii="Calibri" w:eastAsia="Times New Roman" w:hAnsi="Calibri" w:cs="Calibri"/>
          <w:szCs w:val="21"/>
          <w:lang w:val="en-US"/>
        </w:rPr>
        <w:t xml:space="preserve"> Didier </w:t>
      </w:r>
      <w:proofErr w:type="spellStart"/>
      <w:r w:rsidRPr="007760E0">
        <w:rPr>
          <w:rFonts w:ascii="Calibri" w:eastAsia="Times New Roman" w:hAnsi="Calibri" w:cs="Calibri"/>
          <w:szCs w:val="21"/>
          <w:lang w:val="en-US"/>
        </w:rPr>
        <w:t>Delanoye</w:t>
      </w:r>
      <w:proofErr w:type="spellEnd"/>
      <w:r w:rsidRPr="007760E0">
        <w:rPr>
          <w:rFonts w:ascii="Calibri" w:eastAsia="Times New Roman" w:hAnsi="Calibri" w:cs="Calibri"/>
          <w:szCs w:val="21"/>
          <w:lang w:val="en-US"/>
        </w:rPr>
        <w:t>, has confirmed that the audit, which is substantially complete, has not to date revealed any material misstatement in the draft consolidated financial statements of TCI, and that the accounting data reported in the press release is consistent, in all material respects, with the draft consolidated financial statements from which it has been derived</w:t>
      </w:r>
      <w:r>
        <w:rPr>
          <w:rFonts w:ascii="Calibri" w:eastAsia="Times New Roman" w:hAnsi="Calibri" w:cs="Calibri"/>
          <w:szCs w:val="21"/>
          <w:lang w:val="en-US"/>
        </w:rPr>
        <w:t>.</w:t>
      </w:r>
    </w:p>
    <w:p w14:paraId="0ED1DDDA" w14:textId="77777777" w:rsidR="002D05ED" w:rsidRPr="0087712A" w:rsidRDefault="002D05ED" w:rsidP="002D05ED">
      <w:pPr>
        <w:jc w:val="both"/>
        <w:rPr>
          <w:rFonts w:ascii="Calibri" w:hAnsi="Calibri" w:cs="Calibri"/>
          <w:color w:val="00183D"/>
          <w:sz w:val="18"/>
          <w:szCs w:val="18"/>
          <w:u w:val="single"/>
        </w:rPr>
      </w:pPr>
    </w:p>
    <w:p w14:paraId="24389B89" w14:textId="77777777" w:rsidR="002D05ED" w:rsidRPr="00D73C21" w:rsidRDefault="002D05ED" w:rsidP="002D05ED">
      <w:pPr>
        <w:jc w:val="both"/>
        <w:rPr>
          <w:rFonts w:ascii="Calibri Light" w:hAnsi="Calibri Light" w:cs="Calibri Light"/>
          <w:i/>
          <w:iCs/>
          <w:color w:val="00183D"/>
          <w:sz w:val="18"/>
          <w:szCs w:val="18"/>
        </w:rPr>
      </w:pPr>
      <w:r w:rsidRPr="00D73C21">
        <w:rPr>
          <w:rFonts w:ascii="Calibri Light" w:hAnsi="Calibri Light" w:cs="Calibri Light"/>
          <w:i/>
          <w:iCs/>
          <w:color w:val="00183D"/>
          <w:sz w:val="18"/>
          <w:szCs w:val="18"/>
          <w:u w:val="single"/>
        </w:rPr>
        <w:t>DISCLAIMER:</w:t>
      </w:r>
      <w:r w:rsidRPr="00D73C21">
        <w:rPr>
          <w:rFonts w:ascii="Calibri Light" w:hAnsi="Calibri Light" w:cs="Calibri Light"/>
          <w:i/>
          <w:iCs/>
          <w:color w:val="00183D"/>
          <w:sz w:val="18"/>
          <w:szCs w:val="18"/>
        </w:rPr>
        <w:t xml:space="preserve"> This report may include forward-looking statements. Forward-looking statements are statements regarding or based upon our management’s current intentions, beliefs or expectations relating to, among other things, TITAN Group’s future results of operations, financial condition, liquidity, prospects, growth, </w:t>
      </w:r>
      <w:proofErr w:type="gramStart"/>
      <w:r w:rsidRPr="00D73C21">
        <w:rPr>
          <w:rFonts w:ascii="Calibri Light" w:hAnsi="Calibri Light" w:cs="Calibri Light"/>
          <w:i/>
          <w:iCs/>
          <w:color w:val="00183D"/>
          <w:sz w:val="18"/>
          <w:szCs w:val="18"/>
        </w:rPr>
        <w:t>strategies</w:t>
      </w:r>
      <w:proofErr w:type="gramEnd"/>
      <w:r w:rsidRPr="00D73C21">
        <w:rPr>
          <w:rFonts w:ascii="Calibri Light" w:hAnsi="Calibri Light" w:cs="Calibri Light"/>
          <w:i/>
          <w:iCs/>
          <w:color w:val="00183D"/>
          <w:sz w:val="18"/>
          <w:szCs w:val="18"/>
        </w:rPr>
        <w:t xml:space="preserve"> or developments in the industry in which we operate. By their nature, forward-looking statements are subject to risks, uncertainties and assumptions that could cause actual results or future events to differ materially from those expressed or implied thereby. These risks, uncertainties and assumptions could adversely affect the outcome and financial effects of the plans and events described herein. Forward-looking statements contained in this report regarding trends or current activities should not be taken as a report that such trends or activities will continue in the future. We undertake no obligation to update or revise any forward-looking statements, whether </w:t>
      </w:r>
      <w:proofErr w:type="gramStart"/>
      <w:r w:rsidRPr="00D73C21">
        <w:rPr>
          <w:rFonts w:ascii="Calibri Light" w:hAnsi="Calibri Light" w:cs="Calibri Light"/>
          <w:i/>
          <w:iCs/>
          <w:color w:val="00183D"/>
          <w:sz w:val="18"/>
          <w:szCs w:val="18"/>
        </w:rPr>
        <w:t>as a result of</w:t>
      </w:r>
      <w:proofErr w:type="gramEnd"/>
      <w:r w:rsidRPr="00D73C21">
        <w:rPr>
          <w:rFonts w:ascii="Calibri Light" w:hAnsi="Calibri Light" w:cs="Calibri Light"/>
          <w:i/>
          <w:iCs/>
          <w:color w:val="00183D"/>
          <w:sz w:val="18"/>
          <w:szCs w:val="18"/>
        </w:rPr>
        <w:t xml:space="preserve"> new information, future events or otherwise. You should not place undue reliance on any such forward-looking statements, which speak only as of the date of this report. The information contained in this report is subject to change without notice. No re-report or warranty, express or implied, is made as to the fairness, accuracy, </w:t>
      </w:r>
      <w:proofErr w:type="gramStart"/>
      <w:r w:rsidRPr="00D73C21">
        <w:rPr>
          <w:rFonts w:ascii="Calibri Light" w:hAnsi="Calibri Light" w:cs="Calibri Light"/>
          <w:i/>
          <w:iCs/>
          <w:color w:val="00183D"/>
          <w:sz w:val="18"/>
          <w:szCs w:val="18"/>
        </w:rPr>
        <w:t>reasonableness</w:t>
      </w:r>
      <w:proofErr w:type="gramEnd"/>
      <w:r w:rsidRPr="00D73C21">
        <w:rPr>
          <w:rFonts w:ascii="Calibri Light" w:hAnsi="Calibri Light" w:cs="Calibri Light"/>
          <w:i/>
          <w:iCs/>
          <w:color w:val="00183D"/>
          <w:sz w:val="18"/>
          <w:szCs w:val="18"/>
        </w:rPr>
        <w:t xml:space="preserve"> or completeness of the information contained herein and no reliance should be placed on it. In most of the tables of this report, amounts are shown in € million for reasons of transparency. This may give rise to rounding differences in the tables presented in the trading update. This trading update has been prepared in English and translated into French and Greek. In the case of discrepancies between the two versions, the English version will prevail.</w:t>
      </w:r>
    </w:p>
    <w:p w14:paraId="2AB3981C" w14:textId="77777777" w:rsidR="002D05ED" w:rsidRPr="00D73C21" w:rsidRDefault="002D05ED" w:rsidP="002D05ED">
      <w:pPr>
        <w:pStyle w:val="Copy"/>
        <w:jc w:val="both"/>
        <w:rPr>
          <w:rFonts w:cs="Calibri Light"/>
          <w:b/>
          <w:bCs/>
          <w:i/>
          <w:iCs/>
          <w:sz w:val="22"/>
          <w:szCs w:val="22"/>
        </w:rPr>
      </w:pPr>
    </w:p>
    <w:p w14:paraId="46DF2CA2" w14:textId="514B32C0" w:rsidR="00CC1A4E" w:rsidRPr="0087712A" w:rsidRDefault="002D05ED" w:rsidP="00A86595">
      <w:pPr>
        <w:pStyle w:val="Copy"/>
        <w:jc w:val="both"/>
        <w:rPr>
          <w:rFonts w:ascii="Calibri" w:eastAsia="Times New Roman" w:hAnsi="Calibri" w:cs="Calibri"/>
          <w:sz w:val="18"/>
          <w:szCs w:val="18"/>
          <w:lang w:val="en-US" w:eastAsia="el-GR"/>
        </w:rPr>
      </w:pPr>
      <w:r w:rsidRPr="0087712A">
        <w:rPr>
          <w:rFonts w:ascii="Calibri" w:hAnsi="Calibri" w:cs="Calibri"/>
          <w:b/>
          <w:noProof/>
          <w:lang w:val="en-US"/>
        </w:rPr>
        <mc:AlternateContent>
          <mc:Choice Requires="wps">
            <w:drawing>
              <wp:anchor distT="0" distB="0" distL="114300" distR="114300" simplePos="0" relativeHeight="251658257" behindDoc="0" locked="0" layoutInCell="1" allowOverlap="1" wp14:anchorId="04B179B2" wp14:editId="466DA50D">
                <wp:simplePos x="0" y="0"/>
                <wp:positionH relativeFrom="margin">
                  <wp:posOffset>-47625</wp:posOffset>
                </wp:positionH>
                <wp:positionV relativeFrom="paragraph">
                  <wp:posOffset>1282700</wp:posOffset>
                </wp:positionV>
                <wp:extent cx="61036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6103620" cy="0"/>
                        </a:xfrm>
                        <a:prstGeom prst="line">
                          <a:avLst/>
                        </a:prstGeom>
                        <a:noFill/>
                        <a:ln w="3175" cap="flat" cmpd="sng" algn="ctr">
                          <a:solidFill>
                            <a:srgbClr val="00183D"/>
                          </a:solidFill>
                          <a:prstDash val="solid"/>
                        </a:ln>
                        <a:effectLst/>
                      </wps:spPr>
                      <wps:bodyPr/>
                    </wps:wsp>
                  </a:graphicData>
                </a:graphic>
                <wp14:sizeRelH relativeFrom="margin">
                  <wp14:pctWidth>0</wp14:pctWidth>
                </wp14:sizeRelH>
              </wp:anchor>
            </w:drawing>
          </mc:Choice>
          <mc:Fallback>
            <w:pict>
              <v:line w14:anchorId="11762551" id="Straight Connector 5" o:spid="_x0000_s1026" style="position:absolute;z-index:25165825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5pt,101pt" to="476.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" strokecolor="#00183d" strokeweight=".25pt">
                <w10:wrap anchorx="margin"/>
              </v:line>
            </w:pict>
          </mc:Fallback>
        </mc:AlternateContent>
      </w:r>
      <w:r w:rsidRPr="0087712A">
        <w:rPr>
          <w:rFonts w:ascii="Calibri" w:hAnsi="Calibri" w:cs="Calibri"/>
          <w:b/>
          <w:noProof/>
          <w:lang w:val="en-US"/>
        </w:rPr>
        <mc:AlternateContent>
          <mc:Choice Requires="wps">
            <w:drawing>
              <wp:anchor distT="0" distB="0" distL="114300" distR="114300" simplePos="0" relativeHeight="251658256" behindDoc="0" locked="0" layoutInCell="1" allowOverlap="1" wp14:anchorId="4A75D878" wp14:editId="25FE53CE">
                <wp:simplePos x="0" y="0"/>
                <wp:positionH relativeFrom="margin">
                  <wp:posOffset>0</wp:posOffset>
                </wp:positionH>
                <wp:positionV relativeFrom="paragraph">
                  <wp:posOffset>165100</wp:posOffset>
                </wp:positionV>
                <wp:extent cx="61036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6103620" cy="0"/>
                        </a:xfrm>
                        <a:prstGeom prst="line">
                          <a:avLst/>
                        </a:prstGeom>
                        <a:noFill/>
                        <a:ln w="3175" cap="flat" cmpd="sng" algn="ctr">
                          <a:solidFill>
                            <a:srgbClr val="00183D"/>
                          </a:solidFill>
                          <a:prstDash val="solid"/>
                        </a:ln>
                        <a:effectLst/>
                      </wps:spPr>
                      <wps:bodyPr/>
                    </wps:wsp>
                  </a:graphicData>
                </a:graphic>
                <wp14:sizeRelH relativeFrom="margin">
                  <wp14:pctWidth>0</wp14:pctWidth>
                </wp14:sizeRelH>
              </wp:anchor>
            </w:drawing>
          </mc:Choice>
          <mc:Fallback>
            <w:pict>
              <v:line w14:anchorId="3EAFAD09" id="Straight Connector 6" o:spid="_x0000_s1026" style="position:absolute;z-index:25165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pt" to="48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" strokecolor="#00183d" strokeweight=".25pt">
                <w10:wrap anchorx="margin"/>
              </v:line>
            </w:pict>
          </mc:Fallback>
        </mc:AlternateContent>
      </w:r>
      <w:r w:rsidRPr="0087712A">
        <w:rPr>
          <w:rFonts w:ascii="Calibri" w:hAnsi="Calibri" w:cs="Calibri"/>
          <w:b/>
          <w:bCs/>
          <w:szCs w:val="21"/>
        </w:rPr>
        <w:t>About Titan Cement International SA</w:t>
      </w:r>
      <w:r w:rsidRPr="0087712A">
        <w:rPr>
          <w:rFonts w:ascii="Calibri" w:hAnsi="Calibri" w:cs="Calibri"/>
          <w:b/>
          <w:bCs/>
          <w:szCs w:val="21"/>
        </w:rPr>
        <w:tab/>
      </w:r>
      <w:r w:rsidRPr="0087712A">
        <w:rPr>
          <w:rFonts w:ascii="Calibri" w:hAnsi="Calibri" w:cs="Calibri"/>
          <w:b/>
          <w:bCs/>
          <w:sz w:val="24"/>
          <w:szCs w:val="24"/>
        </w:rPr>
        <w:br/>
      </w:r>
      <w:r w:rsidR="001E22BC" w:rsidRPr="001E22BC">
        <w:rPr>
          <w:rFonts w:ascii="Calibri" w:hAnsi="Calibri" w:cs="Calibri"/>
          <w:sz w:val="18"/>
          <w:szCs w:val="18"/>
        </w:rPr>
        <w:t xml:space="preserve">TITAN Group is a leading international business in the building and infrastructure materials industry, with passionate teams committed to providing innovative solutions for a better world. With most of its activity in the USA, the Group employs over 5,000 people and operates in more than 25 countries, holding prominent positions in the USA, Greece, the Balkans, and the Eastern Mediterranean. The Group also has a joint venture in Brazil. With a 120-year history, TITAN has always fostered a family- and entrepreneurial-oriented culture for its employees and works tirelessly with its customers to meet the modern needs of society while promoting sustainable growth with responsibility and integrity. TITAN has set a net-zero goal for 2050 and has its CO₂ reduction targets validated by the Science Based Targets initiative (SBTi). The company is listed on Euronext and the Athens Exchange. For more information, visit our website at </w:t>
      </w:r>
      <w:r w:rsidR="001E22BC" w:rsidRPr="006A6D88">
        <w:rPr>
          <w:rFonts w:ascii="Calibri" w:eastAsia="Calibri" w:hAnsi="Calibri" w:cs="Calibri"/>
          <w:color w:val="0563C1"/>
          <w:sz w:val="18"/>
          <w:szCs w:val="18"/>
          <w:u w:val="single"/>
          <w:lang w:val="en-US"/>
        </w:rPr>
        <w:t>www.titan-cement.com</w:t>
      </w:r>
      <w:r w:rsidR="001E22BC" w:rsidRPr="001E22BC">
        <w:rPr>
          <w:rFonts w:ascii="Calibri" w:hAnsi="Calibri" w:cs="Calibri"/>
          <w:sz w:val="18"/>
          <w:szCs w:val="18"/>
        </w:rPr>
        <w:t>.</w:t>
      </w:r>
    </w:p>
    <w:sectPr w:rsidR="00CC1A4E" w:rsidRPr="0087712A" w:rsidSect="00E718FE">
      <w:headerReference w:type="even" r:id="rId25"/>
      <w:headerReference w:type="default" r:id="rId26"/>
      <w:footerReference w:type="even" r:id="rId27"/>
      <w:footerReference w:type="default" r:id="rId28"/>
      <w:pgSz w:w="11906" w:h="16838"/>
      <w:pgMar w:top="1843" w:right="1133" w:bottom="851" w:left="1134" w:header="4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BB1" w14:textId="77777777" w:rsidR="00156C8C" w:rsidRDefault="00156C8C" w:rsidP="002226E5">
      <w:r>
        <w:separator/>
      </w:r>
    </w:p>
  </w:endnote>
  <w:endnote w:type="continuationSeparator" w:id="0">
    <w:p w14:paraId="1B25A104" w14:textId="77777777" w:rsidR="00156C8C" w:rsidRDefault="00156C8C" w:rsidP="002226E5">
      <w:r>
        <w:continuationSeparator/>
      </w:r>
    </w:p>
  </w:endnote>
  <w:endnote w:type="continuationNotice" w:id="1">
    <w:p w14:paraId="2092D72D" w14:textId="77777777" w:rsidR="00156C8C" w:rsidRDefault="0015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taSansPro-B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277642"/>
      <w:docPartObj>
        <w:docPartGallery w:val="Page Numbers (Bottom of Page)"/>
        <w:docPartUnique/>
      </w:docPartObj>
    </w:sdtPr>
    <w:sdtContent>
      <w:p w14:paraId="6FD9C004" w14:textId="77777777" w:rsidR="00A90423" w:rsidRDefault="00A90423" w:rsidP="00040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846DA" w14:textId="77777777" w:rsidR="00A90423" w:rsidRDefault="00A90423" w:rsidP="008E3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2738" w14:textId="4F51358B" w:rsidR="00A90423" w:rsidRPr="0074662F" w:rsidRDefault="00A90423" w:rsidP="0074662F">
    <w:pPr>
      <w:pStyle w:val="Header"/>
      <w:spacing w:line="276" w:lineRule="auto"/>
      <w:jc w:val="right"/>
      <w:rPr>
        <w:rStyle w:val="PageNumber"/>
        <w:rFonts w:ascii="Calibri Light" w:hAnsi="Calibri Light" w:cs="Calibri Light"/>
        <w:color w:val="FFFFFF" w:themeColor="background1"/>
        <w:sz w:val="16"/>
        <w:szCs w:val="16"/>
        <w:lang w:val="fr-FR"/>
      </w:rPr>
    </w:pPr>
    <w:r>
      <w:rPr>
        <w:rStyle w:val="PageNumber"/>
        <w:rFonts w:ascii="Calibri Light" w:hAnsi="Calibri Light" w:cs="Calibri Light"/>
        <w:color w:val="FFFFFF" w:themeColor="background1"/>
        <w:sz w:val="16"/>
        <w:szCs w:val="16"/>
        <w:lang w:val="fr-FR"/>
      </w:rPr>
      <w:fldChar w:fldCharType="begin"/>
    </w:r>
    <w:r>
      <w:rPr>
        <w:rStyle w:val="PageNumber"/>
        <w:rFonts w:ascii="Calibri Light" w:hAnsi="Calibri Light" w:cs="Calibri Light"/>
        <w:color w:val="FFFFFF" w:themeColor="background1"/>
        <w:sz w:val="16"/>
        <w:szCs w:val="16"/>
        <w:lang w:val="fr-FR"/>
      </w:rPr>
      <w:instrText xml:space="preserve"> TIME \@ "dd/MM/yyyy HH:mm" </w:instrText>
    </w:r>
    <w:r>
      <w:rPr>
        <w:rStyle w:val="PageNumber"/>
        <w:rFonts w:ascii="Calibri Light" w:hAnsi="Calibri Light" w:cs="Calibri Light"/>
        <w:color w:val="FFFFFF" w:themeColor="background1"/>
        <w:sz w:val="16"/>
        <w:szCs w:val="16"/>
        <w:lang w:val="fr-FR"/>
      </w:rPr>
      <w:fldChar w:fldCharType="separate"/>
    </w:r>
    <w:r w:rsidR="00CC1C01">
      <w:rPr>
        <w:rStyle w:val="PageNumber"/>
        <w:rFonts w:ascii="Calibri Light" w:hAnsi="Calibri Light" w:cs="Calibri Light"/>
        <w:noProof/>
        <w:color w:val="FFFFFF" w:themeColor="background1"/>
        <w:sz w:val="16"/>
        <w:szCs w:val="16"/>
        <w:lang w:val="fr-FR"/>
      </w:rPr>
      <w:t>23/03/2023 11:55</w:t>
    </w:r>
    <w:r>
      <w:rPr>
        <w:rStyle w:val="PageNumber"/>
        <w:rFonts w:ascii="Calibri Light" w:hAnsi="Calibri Light" w:cs="Calibri Light"/>
        <w:color w:val="FFFFFF" w:themeColor="background1"/>
        <w:sz w:val="16"/>
        <w:szCs w:val="16"/>
        <w:lang w:val="fr-FR"/>
      </w:rPr>
      <w:fldChar w:fldCharType="end"/>
    </w:r>
    <w:r>
      <w:rPr>
        <w:rStyle w:val="PageNumber"/>
        <w:rFonts w:ascii="Calibri Light" w:hAnsi="Calibri Light" w:cs="Calibri Light"/>
        <w:color w:val="FFFFFF" w:themeColor="background1"/>
        <w:sz w:val="16"/>
        <w:szCs w:val="16"/>
        <w:lang w:val="fr-FR"/>
      </w:rPr>
      <w:fldChar w:fldCharType="begin"/>
    </w:r>
    <w:r>
      <w:rPr>
        <w:rStyle w:val="PageNumber"/>
        <w:rFonts w:ascii="Calibri Light" w:hAnsi="Calibri Light" w:cs="Calibri Light"/>
        <w:color w:val="FFFFFF" w:themeColor="background1"/>
        <w:sz w:val="16"/>
        <w:szCs w:val="16"/>
      </w:rPr>
      <w:instrText xml:space="preserve"> DATE \@ "dddd, dd MMMM yyyy" </w:instrText>
    </w:r>
    <w:r>
      <w:rPr>
        <w:rStyle w:val="PageNumber"/>
        <w:rFonts w:ascii="Calibri Light" w:hAnsi="Calibri Light" w:cs="Calibri Light"/>
        <w:color w:val="FFFFFF" w:themeColor="background1"/>
        <w:sz w:val="16"/>
        <w:szCs w:val="16"/>
        <w:lang w:val="fr-FR"/>
      </w:rPr>
      <w:fldChar w:fldCharType="separate"/>
    </w:r>
    <w:r w:rsidR="00CC1C01">
      <w:rPr>
        <w:rStyle w:val="PageNumber"/>
        <w:rFonts w:ascii="Calibri Light" w:hAnsi="Calibri Light" w:cs="Calibri Light"/>
        <w:noProof/>
        <w:color w:val="FFFFFF" w:themeColor="background1"/>
        <w:sz w:val="16"/>
        <w:szCs w:val="16"/>
      </w:rPr>
      <w:t>Thursday, 23 March 2023</w:t>
    </w:r>
    <w:r>
      <w:rPr>
        <w:rStyle w:val="PageNumber"/>
        <w:rFonts w:ascii="Calibri Light" w:hAnsi="Calibri Light" w:cs="Calibri Light"/>
        <w:color w:val="FFFFFF" w:themeColor="background1"/>
        <w:sz w:val="16"/>
        <w:szCs w:val="16"/>
        <w:lang w:val="fr-FR"/>
      </w:rPr>
      <w:fldChar w:fldCharType="end"/>
    </w:r>
    <w:r w:rsidRPr="0074662F">
      <w:rPr>
        <w:rStyle w:val="PageNumber"/>
        <w:rFonts w:ascii="Calibri Light" w:hAnsi="Calibri Light" w:cs="Calibri Light"/>
        <w:color w:val="FFFFFF" w:themeColor="background1"/>
        <w:sz w:val="16"/>
        <w:szCs w:val="16"/>
        <w:lang w:val="fr-FR"/>
      </w:rPr>
      <w:t xml:space="preserve">Page </w:t>
    </w:r>
    <w:r w:rsidRPr="00BB3FAE">
      <w:rPr>
        <w:rStyle w:val="PageNumber"/>
        <w:rFonts w:ascii="Calibri Light" w:hAnsi="Calibri Light" w:cs="Calibri Light"/>
        <w:color w:val="FFFFFF" w:themeColor="background1"/>
        <w:sz w:val="16"/>
        <w:szCs w:val="16"/>
      </w:rPr>
      <w:fldChar w:fldCharType="begin"/>
    </w:r>
    <w:r w:rsidRPr="0074662F">
      <w:rPr>
        <w:rStyle w:val="PageNumber"/>
        <w:rFonts w:ascii="Calibri Light" w:hAnsi="Calibri Light" w:cs="Calibri Light"/>
        <w:color w:val="FFFFFF" w:themeColor="background1"/>
        <w:sz w:val="16"/>
        <w:szCs w:val="16"/>
        <w:lang w:val="fr-FR"/>
      </w:rPr>
      <w:instrText xml:space="preserve"> PAGE </w:instrText>
    </w:r>
    <w:r w:rsidRPr="00BB3FAE">
      <w:rPr>
        <w:rStyle w:val="PageNumber"/>
        <w:rFonts w:ascii="Calibri Light" w:hAnsi="Calibri Light" w:cs="Calibri Light"/>
        <w:color w:val="FFFFFF" w:themeColor="background1"/>
        <w:sz w:val="16"/>
        <w:szCs w:val="16"/>
      </w:rPr>
      <w:fldChar w:fldCharType="separate"/>
    </w:r>
    <w:r w:rsidR="000B48E0">
      <w:rPr>
        <w:rStyle w:val="PageNumber"/>
        <w:rFonts w:ascii="Calibri Light" w:hAnsi="Calibri Light" w:cs="Calibri Light"/>
        <w:noProof/>
        <w:color w:val="FFFFFF" w:themeColor="background1"/>
        <w:sz w:val="16"/>
        <w:szCs w:val="16"/>
        <w:lang w:val="fr-FR"/>
      </w:rPr>
      <w:t>11</w:t>
    </w:r>
    <w:r w:rsidRPr="00BB3FAE">
      <w:rPr>
        <w:rStyle w:val="PageNumber"/>
        <w:rFonts w:ascii="Calibri Light" w:hAnsi="Calibri Light" w:cs="Calibri Light"/>
        <w:color w:val="FFFFFF" w:themeColor="background1"/>
        <w:sz w:val="16"/>
        <w:szCs w:val="16"/>
      </w:rPr>
      <w:fldChar w:fldCharType="end"/>
    </w:r>
    <w:r w:rsidRPr="0074662F">
      <w:rPr>
        <w:rStyle w:val="PageNumber"/>
        <w:rFonts w:ascii="Calibri Light" w:hAnsi="Calibri Light" w:cs="Calibri Light"/>
        <w:color w:val="FFFFFF" w:themeColor="background1"/>
        <w:sz w:val="16"/>
        <w:szCs w:val="16"/>
        <w:lang w:val="fr-FR"/>
      </w:rPr>
      <w:t>/</w:t>
    </w:r>
    <w:r w:rsidRPr="00BB3FAE">
      <w:rPr>
        <w:rStyle w:val="PageNumber"/>
        <w:rFonts w:ascii="Calibri Light" w:hAnsi="Calibri Light" w:cs="Calibri Light"/>
        <w:color w:val="FFFFFF" w:themeColor="background1"/>
        <w:sz w:val="16"/>
        <w:szCs w:val="16"/>
      </w:rPr>
      <w:fldChar w:fldCharType="begin"/>
    </w:r>
    <w:r w:rsidRPr="0074662F">
      <w:rPr>
        <w:rStyle w:val="PageNumber"/>
        <w:rFonts w:ascii="Calibri Light" w:hAnsi="Calibri Light" w:cs="Calibri Light"/>
        <w:color w:val="FFFFFF" w:themeColor="background1"/>
        <w:sz w:val="16"/>
        <w:szCs w:val="16"/>
        <w:lang w:val="fr-FR"/>
      </w:rPr>
      <w:instrText xml:space="preserve"> NUMPAGES  \* MERGEFORMAT </w:instrText>
    </w:r>
    <w:r w:rsidRPr="00BB3FAE">
      <w:rPr>
        <w:rStyle w:val="PageNumber"/>
        <w:rFonts w:ascii="Calibri Light" w:hAnsi="Calibri Light" w:cs="Calibri Light"/>
        <w:color w:val="FFFFFF" w:themeColor="background1"/>
        <w:sz w:val="16"/>
        <w:szCs w:val="16"/>
      </w:rPr>
      <w:fldChar w:fldCharType="separate"/>
    </w:r>
    <w:r w:rsidR="000B48E0">
      <w:rPr>
        <w:rStyle w:val="PageNumber"/>
        <w:rFonts w:ascii="Calibri Light" w:hAnsi="Calibri Light" w:cs="Calibri Light"/>
        <w:noProof/>
        <w:color w:val="FFFFFF" w:themeColor="background1"/>
        <w:sz w:val="16"/>
        <w:szCs w:val="16"/>
        <w:lang w:val="fr-FR"/>
      </w:rPr>
      <w:t>14</w:t>
    </w:r>
    <w:r w:rsidRPr="00BB3FAE">
      <w:rPr>
        <w:rStyle w:val="PageNumber"/>
        <w:rFonts w:ascii="Calibri Light" w:hAnsi="Calibri Light" w:cs="Calibri Light"/>
        <w:color w:val="FFFFFF" w:themeColor="background1"/>
        <w:sz w:val="16"/>
        <w:szCs w:val="16"/>
      </w:rPr>
      <w:fldChar w:fldCharType="end"/>
    </w:r>
  </w:p>
  <w:p w14:paraId="342798FD" w14:textId="2960564C" w:rsidR="00A90423" w:rsidRPr="00471690" w:rsidRDefault="00A90423" w:rsidP="00471690">
    <w:pPr>
      <w:pStyle w:val="C"/>
      <w:jc w:val="right"/>
      <w:rPr>
        <w:sz w:val="16"/>
        <w:szCs w:val="16"/>
        <w:lang w:val="fr-FR"/>
      </w:rPr>
    </w:pPr>
    <w:r>
      <w:rPr>
        <w:rFonts w:ascii="Calibri Light" w:hAnsi="Calibri Light" w:cs="Calibri Light"/>
        <w:b w:val="0"/>
        <w:bCs w:val="0"/>
        <w:sz w:val="16"/>
        <w:szCs w:val="16"/>
        <w:lang w:val="fr-FR"/>
      </w:rPr>
      <w:t xml:space="preserve">   </w:t>
    </w:r>
    <w:r w:rsidRPr="00D30DA7">
      <w:rPr>
        <w:rFonts w:ascii="Calibri Light" w:hAnsi="Calibri Light" w:cs="Calibri Light"/>
        <w:b w:val="0"/>
        <w:bCs w:val="0"/>
        <w:sz w:val="16"/>
        <w:szCs w:val="16"/>
        <w:lang w:val="fr-FR"/>
      </w:rPr>
      <w:t xml:space="preserve">Page </w:t>
    </w:r>
    <w:r w:rsidRPr="00D30DA7">
      <w:rPr>
        <w:rFonts w:ascii="Calibri Light" w:hAnsi="Calibri Light" w:cs="Calibri Light"/>
        <w:b w:val="0"/>
        <w:bCs w:val="0"/>
        <w:sz w:val="16"/>
        <w:szCs w:val="16"/>
        <w:lang w:val="en-US"/>
      </w:rPr>
      <w:fldChar w:fldCharType="begin"/>
    </w:r>
    <w:r w:rsidRPr="00D30DA7">
      <w:rPr>
        <w:rFonts w:ascii="Calibri Light" w:hAnsi="Calibri Light" w:cs="Calibri Light"/>
        <w:b w:val="0"/>
        <w:bCs w:val="0"/>
        <w:sz w:val="16"/>
        <w:szCs w:val="16"/>
        <w:lang w:val="fr-FR"/>
      </w:rPr>
      <w:instrText xml:space="preserve"> PAGE  \* MERGEFORMAT </w:instrText>
    </w:r>
    <w:r w:rsidRPr="00D30DA7">
      <w:rPr>
        <w:rFonts w:ascii="Calibri Light" w:hAnsi="Calibri Light" w:cs="Calibri Light"/>
        <w:b w:val="0"/>
        <w:bCs w:val="0"/>
        <w:sz w:val="16"/>
        <w:szCs w:val="16"/>
        <w:lang w:val="en-US"/>
      </w:rPr>
      <w:fldChar w:fldCharType="separate"/>
    </w:r>
    <w:r w:rsidR="000B48E0">
      <w:rPr>
        <w:rFonts w:ascii="Calibri Light" w:hAnsi="Calibri Light" w:cs="Calibri Light"/>
        <w:b w:val="0"/>
        <w:bCs w:val="0"/>
        <w:noProof/>
        <w:sz w:val="16"/>
        <w:szCs w:val="16"/>
        <w:lang w:val="fr-FR"/>
      </w:rPr>
      <w:t>11</w:t>
    </w:r>
    <w:r w:rsidRPr="00D30DA7">
      <w:rPr>
        <w:rFonts w:ascii="Calibri Light" w:hAnsi="Calibri Light" w:cs="Calibri Light"/>
        <w:b w:val="0"/>
        <w:bCs w:val="0"/>
        <w:sz w:val="16"/>
        <w:szCs w:val="16"/>
        <w:lang w:val="en-US"/>
      </w:rPr>
      <w:fldChar w:fldCharType="end"/>
    </w:r>
    <w:r w:rsidRPr="00D30DA7">
      <w:rPr>
        <w:rFonts w:ascii="Calibri Light" w:hAnsi="Calibri Light" w:cs="Calibri Light"/>
        <w:b w:val="0"/>
        <w:bCs w:val="0"/>
        <w:sz w:val="16"/>
        <w:szCs w:val="16"/>
        <w:lang w:val="fr-FR"/>
      </w:rPr>
      <w:t>/</w:t>
    </w:r>
    <w:r w:rsidRPr="00D30DA7">
      <w:rPr>
        <w:rFonts w:ascii="Calibri Light" w:hAnsi="Calibri Light" w:cs="Calibri Light"/>
        <w:b w:val="0"/>
        <w:bCs w:val="0"/>
        <w:sz w:val="16"/>
        <w:szCs w:val="16"/>
        <w:lang w:val="en-US"/>
      </w:rPr>
      <w:fldChar w:fldCharType="begin"/>
    </w:r>
    <w:r w:rsidRPr="00D30DA7">
      <w:rPr>
        <w:rFonts w:ascii="Calibri Light" w:hAnsi="Calibri Light" w:cs="Calibri Light"/>
        <w:b w:val="0"/>
        <w:bCs w:val="0"/>
        <w:sz w:val="16"/>
        <w:szCs w:val="16"/>
        <w:lang w:val="fr-FR"/>
      </w:rPr>
      <w:instrText xml:space="preserve"> NUMPAGES  \* MERGEFORMAT </w:instrText>
    </w:r>
    <w:r w:rsidRPr="00D30DA7">
      <w:rPr>
        <w:rFonts w:ascii="Calibri Light" w:hAnsi="Calibri Light" w:cs="Calibri Light"/>
        <w:b w:val="0"/>
        <w:bCs w:val="0"/>
        <w:sz w:val="16"/>
        <w:szCs w:val="16"/>
        <w:lang w:val="en-US"/>
      </w:rPr>
      <w:fldChar w:fldCharType="separate"/>
    </w:r>
    <w:r w:rsidR="000B48E0">
      <w:rPr>
        <w:rFonts w:ascii="Calibri Light" w:hAnsi="Calibri Light" w:cs="Calibri Light"/>
        <w:b w:val="0"/>
        <w:bCs w:val="0"/>
        <w:noProof/>
        <w:sz w:val="16"/>
        <w:szCs w:val="16"/>
        <w:lang w:val="fr-FR"/>
      </w:rPr>
      <w:t>14</w:t>
    </w:r>
    <w:r w:rsidRPr="00D30DA7">
      <w:rPr>
        <w:rFonts w:ascii="Calibri Light" w:hAnsi="Calibri Light" w:cs="Calibri Light"/>
        <w:b w:val="0"/>
        <w:bCs w:val="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DF4D" w14:textId="77777777" w:rsidR="00156C8C" w:rsidRDefault="00156C8C" w:rsidP="002226E5">
      <w:r>
        <w:separator/>
      </w:r>
    </w:p>
  </w:footnote>
  <w:footnote w:type="continuationSeparator" w:id="0">
    <w:p w14:paraId="48FA9705" w14:textId="77777777" w:rsidR="00156C8C" w:rsidRDefault="00156C8C" w:rsidP="002226E5">
      <w:r>
        <w:continuationSeparator/>
      </w:r>
    </w:p>
  </w:footnote>
  <w:footnote w:type="continuationNotice" w:id="1">
    <w:p w14:paraId="6C66D2EC" w14:textId="77777777" w:rsidR="00156C8C" w:rsidRDefault="00156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540061"/>
      <w:docPartObj>
        <w:docPartGallery w:val="Page Numbers (Top of Page)"/>
        <w:docPartUnique/>
      </w:docPartObj>
    </w:sdtPr>
    <w:sdtContent>
      <w:p w14:paraId="37C31C58" w14:textId="37489ABD" w:rsidR="00A90423" w:rsidRDefault="00A90423" w:rsidP="00040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4DEF">
          <w:rPr>
            <w:rStyle w:val="PageNumber"/>
            <w:noProof/>
          </w:rPr>
          <w:t>5</w:t>
        </w:r>
        <w:r>
          <w:rPr>
            <w:rStyle w:val="PageNumber"/>
          </w:rPr>
          <w:fldChar w:fldCharType="end"/>
        </w:r>
      </w:p>
    </w:sdtContent>
  </w:sdt>
  <w:p w14:paraId="53232878" w14:textId="77777777" w:rsidR="00A90423" w:rsidRDefault="00A90423" w:rsidP="00AA46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Light" w:hAnsi="Calibri Light" w:cs="Calibri Light"/>
        <w:color w:val="00183D"/>
        <w:sz w:val="32"/>
        <w:szCs w:val="32"/>
      </w:rPr>
      <w:id w:val="1266503990"/>
      <w:docPartObj>
        <w:docPartGallery w:val="Page Numbers (Top of Page)"/>
        <w:docPartUnique/>
      </w:docPartObj>
    </w:sdtPr>
    <w:sdtEndPr>
      <w:rPr>
        <w:rStyle w:val="PageNumber"/>
        <w:color w:val="FFFFFF" w:themeColor="background1"/>
        <w:sz w:val="16"/>
        <w:szCs w:val="16"/>
      </w:rPr>
    </w:sdtEndPr>
    <w:sdtContent>
      <w:sdt>
        <w:sdtPr>
          <w:rPr>
            <w:rStyle w:val="PageNumber"/>
            <w:rFonts w:ascii="Calibri Light" w:hAnsi="Calibri Light" w:cs="Calibri Light"/>
            <w:color w:val="00183D"/>
            <w:sz w:val="32"/>
            <w:szCs w:val="32"/>
          </w:rPr>
          <w:id w:val="-495584396"/>
          <w:docPartObj>
            <w:docPartGallery w:val="Page Numbers (Top of Page)"/>
            <w:docPartUnique/>
          </w:docPartObj>
        </w:sdtPr>
        <w:sdtEndPr>
          <w:rPr>
            <w:rStyle w:val="PageNumber"/>
            <w:color w:val="FFFFFF" w:themeColor="background1"/>
            <w:sz w:val="21"/>
            <w:szCs w:val="21"/>
          </w:rPr>
        </w:sdtEndPr>
        <w:sdtContent>
          <w:p w14:paraId="1EAEFEDE" w14:textId="77777777" w:rsidR="00A90423" w:rsidRDefault="00A90423" w:rsidP="00983A85">
            <w:pPr>
              <w:pStyle w:val="Header"/>
              <w:framePr w:w="3665" w:wrap="none" w:vAnchor="text" w:hAnchor="page" w:x="7104" w:y="193"/>
              <w:spacing w:line="276" w:lineRule="auto"/>
              <w:jc w:val="right"/>
              <w:rPr>
                <w:rStyle w:val="PageNumber"/>
                <w:rFonts w:ascii="Calibri Light" w:hAnsi="Calibri Light" w:cs="Calibri Light"/>
                <w:color w:val="00183D"/>
                <w:sz w:val="32"/>
                <w:szCs w:val="32"/>
              </w:rPr>
            </w:pPr>
            <w:r w:rsidRPr="00D73482">
              <w:rPr>
                <w:rStyle w:val="PageNumber"/>
                <w:rFonts w:ascii="Calibri Light" w:hAnsi="Calibri Light" w:cs="Calibri Light"/>
                <w:color w:val="00183D"/>
                <w:sz w:val="32"/>
                <w:szCs w:val="32"/>
              </w:rPr>
              <w:t>Media Release</w:t>
            </w:r>
          </w:p>
          <w:p w14:paraId="3A743C8D" w14:textId="77777777" w:rsidR="00A90423" w:rsidRPr="00471690" w:rsidRDefault="00A90423" w:rsidP="00983A85">
            <w:pPr>
              <w:pStyle w:val="Header"/>
              <w:framePr w:w="3665" w:wrap="none" w:vAnchor="text" w:hAnchor="page" w:x="7104" w:y="193"/>
              <w:spacing w:line="276" w:lineRule="auto"/>
              <w:jc w:val="right"/>
              <w:rPr>
                <w:rStyle w:val="PageNumber"/>
                <w:rFonts w:ascii="Calibri Light" w:hAnsi="Calibri Light" w:cs="Calibri Light"/>
                <w:color w:val="00183D"/>
                <w:sz w:val="21"/>
                <w:szCs w:val="21"/>
              </w:rPr>
            </w:pPr>
            <w:r>
              <w:rPr>
                <w:rStyle w:val="PageNumber"/>
                <w:rFonts w:ascii="Calibri Light" w:hAnsi="Calibri Light" w:cs="Calibri Light"/>
                <w:color w:val="00183D"/>
                <w:sz w:val="21"/>
                <w:szCs w:val="21"/>
              </w:rPr>
              <w:t>Regulatory Announcement</w:t>
            </w:r>
          </w:p>
          <w:p w14:paraId="1843C604" w14:textId="77777777" w:rsidR="00A90423" w:rsidRDefault="00A90423" w:rsidP="00F37534">
            <w:pPr>
              <w:pStyle w:val="Header"/>
              <w:framePr w:w="3665" w:wrap="none" w:vAnchor="text" w:hAnchor="page" w:x="7104" w:y="193"/>
              <w:spacing w:line="276" w:lineRule="auto"/>
              <w:rPr>
                <w:rStyle w:val="PageNumber"/>
                <w:rFonts w:ascii="Calibri Light" w:hAnsi="Calibri Light" w:cs="Calibri Light"/>
                <w:color w:val="00183D"/>
              </w:rPr>
            </w:pPr>
          </w:p>
          <w:p w14:paraId="7B10444B" w14:textId="4BC7EB4E" w:rsidR="00A90423" w:rsidRPr="00471690" w:rsidRDefault="00000000" w:rsidP="00F37534">
            <w:pPr>
              <w:pStyle w:val="Header"/>
              <w:framePr w:w="3665" w:wrap="none" w:vAnchor="text" w:hAnchor="page" w:x="7104" w:y="193"/>
              <w:spacing w:line="276" w:lineRule="auto"/>
              <w:rPr>
                <w:rStyle w:val="PageNumber"/>
                <w:rFonts w:ascii="Calibri Light" w:eastAsia="Times New Roman" w:hAnsi="Calibri Light" w:cs="Calibri Light"/>
                <w:color w:val="FFFFFF" w:themeColor="background1"/>
                <w:sz w:val="21"/>
                <w:szCs w:val="21"/>
                <w:lang w:val="en-US"/>
              </w:rPr>
            </w:pPr>
          </w:p>
        </w:sdtContent>
      </w:sdt>
      <w:p w14:paraId="3A18DDF8" w14:textId="77777777" w:rsidR="00A90423" w:rsidRPr="00BB3FAE" w:rsidRDefault="00000000" w:rsidP="00983A85">
        <w:pPr>
          <w:pStyle w:val="Header"/>
          <w:framePr w:w="3665" w:wrap="none" w:vAnchor="text" w:hAnchor="page" w:x="7104" w:y="193"/>
          <w:spacing w:line="276" w:lineRule="auto"/>
          <w:jc w:val="right"/>
          <w:rPr>
            <w:rStyle w:val="PageNumber"/>
            <w:rFonts w:ascii="Calibri Light" w:hAnsi="Calibri Light" w:cs="Calibri Light"/>
            <w:color w:val="FFFFFF" w:themeColor="background1"/>
            <w:sz w:val="16"/>
            <w:szCs w:val="16"/>
          </w:rPr>
        </w:pPr>
      </w:p>
    </w:sdtContent>
  </w:sdt>
  <w:p w14:paraId="67083C26" w14:textId="77777777" w:rsidR="00A90423" w:rsidRPr="00AA4625" w:rsidRDefault="00A90423" w:rsidP="00094E1D">
    <w:pPr>
      <w:pStyle w:val="Header"/>
      <w:tabs>
        <w:tab w:val="clear" w:pos="4153"/>
        <w:tab w:val="clear" w:pos="8306"/>
        <w:tab w:val="left" w:pos="2053"/>
        <w:tab w:val="left" w:pos="7086"/>
      </w:tabs>
      <w:ind w:left="-737" w:right="288"/>
      <w:jc w:val="both"/>
    </w:pPr>
    <w:r w:rsidRPr="001D043A">
      <w:rPr>
        <w:noProof/>
        <w:lang w:val="en-US"/>
      </w:rPr>
      <w:drawing>
        <wp:anchor distT="0" distB="0" distL="114300" distR="114300" simplePos="0" relativeHeight="251658240" behindDoc="1" locked="0" layoutInCell="1" allowOverlap="1" wp14:anchorId="498F7637" wp14:editId="1FB70183">
          <wp:simplePos x="0" y="0"/>
          <wp:positionH relativeFrom="column">
            <wp:posOffset>-711464</wp:posOffset>
          </wp:positionH>
          <wp:positionV relativeFrom="paragraph">
            <wp:posOffset>-265059</wp:posOffset>
          </wp:positionV>
          <wp:extent cx="7689323" cy="143198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09240" cy="1435694"/>
                  </a:xfrm>
                  <a:prstGeom prst="rect">
                    <a:avLst/>
                  </a:prstGeom>
                </pic:spPr>
              </pic:pic>
            </a:graphicData>
          </a:graphic>
          <wp14:sizeRelH relativeFrom="page">
            <wp14:pctWidth>0</wp14:pctWidth>
          </wp14:sizeRelH>
          <wp14:sizeRelV relativeFrom="page">
            <wp14:pctHeight>0</wp14:pctHeight>
          </wp14:sizeRelV>
        </wp:anchor>
      </w:drawing>
    </w:r>
    <w:r w:rsidRPr="001D043A">
      <w:t xml:space="preserve"> </w:t>
    </w:r>
    <w:r>
      <w:rPr>
        <w:noProof/>
        <w:lang w:val="en-US"/>
      </w:rPr>
      <w:drawing>
        <wp:inline distT="0" distB="0" distL="0" distR="0" wp14:anchorId="4AC1B6C9" wp14:editId="048E1FB4">
          <wp:extent cx="1590262" cy="44527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AN_PL_2C_RGB_450px.png"/>
                  <pic:cNvPicPr/>
                </pic:nvPicPr>
                <pic:blipFill>
                  <a:blip r:embed="rId2">
                    <a:extLst>
                      <a:ext uri="{28A0092B-C50C-407E-A947-70E740481C1C}">
                        <a14:useLocalDpi xmlns:a14="http://schemas.microsoft.com/office/drawing/2010/main" val="0"/>
                      </a:ext>
                    </a:extLst>
                  </a:blip>
                  <a:stretch>
                    <a:fillRect/>
                  </a:stretch>
                </pic:blipFill>
                <pic:spPr>
                  <a:xfrm>
                    <a:off x="0" y="0"/>
                    <a:ext cx="1618142" cy="453079"/>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59"/>
    <w:multiLevelType w:val="hybridMultilevel"/>
    <w:tmpl w:val="72C67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B9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B07DF"/>
    <w:multiLevelType w:val="hybridMultilevel"/>
    <w:tmpl w:val="33C6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2273"/>
    <w:multiLevelType w:val="hybridMultilevel"/>
    <w:tmpl w:val="8DE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D297C"/>
    <w:multiLevelType w:val="hybridMultilevel"/>
    <w:tmpl w:val="A63A7CC6"/>
    <w:lvl w:ilvl="0" w:tplc="EDC419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363BC9"/>
    <w:multiLevelType w:val="hybridMultilevel"/>
    <w:tmpl w:val="962E0C04"/>
    <w:lvl w:ilvl="0" w:tplc="FFFFFFFF">
      <w:start w:val="1"/>
      <w:numFmt w:val="bullet"/>
      <w:pStyle w:val="Copy-bullets"/>
      <w:lvlText w:val=""/>
      <w:lvlJc w:val="left"/>
      <w:pPr>
        <w:ind w:left="288" w:hanging="288"/>
      </w:pPr>
      <w:rPr>
        <w:rFonts w:ascii="Symbol" w:hAnsi="Symbol" w:hint="default"/>
        <w:b w:val="0"/>
        <w:i w:val="0"/>
        <w:sz w:val="16"/>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E148B"/>
    <w:multiLevelType w:val="hybridMultilevel"/>
    <w:tmpl w:val="9F841754"/>
    <w:lvl w:ilvl="0" w:tplc="DF7C31F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1F15"/>
    <w:multiLevelType w:val="hybridMultilevel"/>
    <w:tmpl w:val="63E2487A"/>
    <w:lvl w:ilvl="0" w:tplc="D2E682CC">
      <w:start w:val="1"/>
      <w:numFmt w:val="bullet"/>
      <w:lvlText w:val=""/>
      <w:lvlJc w:val="left"/>
      <w:pPr>
        <w:ind w:left="288" w:hanging="288"/>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0F4"/>
    <w:multiLevelType w:val="hybridMultilevel"/>
    <w:tmpl w:val="90F0E9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384C38"/>
    <w:multiLevelType w:val="hybridMultilevel"/>
    <w:tmpl w:val="7DE0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A30572"/>
    <w:multiLevelType w:val="hybridMultilevel"/>
    <w:tmpl w:val="04FC8274"/>
    <w:lvl w:ilvl="0" w:tplc="E272D8FA">
      <w:numFmt w:val="bullet"/>
      <w:lvlText w:val=""/>
      <w:lvlJc w:val="left"/>
      <w:pPr>
        <w:ind w:left="973" w:hanging="360"/>
      </w:pPr>
      <w:rPr>
        <w:rFonts w:ascii="Symbol" w:eastAsia="Symbol" w:hAnsi="Symbol" w:cs="Symbol" w:hint="default"/>
        <w:color w:val="00173C"/>
        <w:w w:val="100"/>
        <w:sz w:val="22"/>
        <w:szCs w:val="22"/>
        <w:lang w:val="el-GR" w:eastAsia="el-GR" w:bidi="el-GR"/>
      </w:rPr>
    </w:lvl>
    <w:lvl w:ilvl="1" w:tplc="6A7EC516">
      <w:numFmt w:val="bullet"/>
      <w:lvlText w:val="•"/>
      <w:lvlJc w:val="left"/>
      <w:pPr>
        <w:ind w:left="1910" w:hanging="360"/>
      </w:pPr>
      <w:rPr>
        <w:rFonts w:hint="default"/>
        <w:lang w:val="el-GR" w:eastAsia="el-GR" w:bidi="el-GR"/>
      </w:rPr>
    </w:lvl>
    <w:lvl w:ilvl="2" w:tplc="6B868180">
      <w:numFmt w:val="bullet"/>
      <w:lvlText w:val="•"/>
      <w:lvlJc w:val="left"/>
      <w:pPr>
        <w:ind w:left="2841" w:hanging="360"/>
      </w:pPr>
      <w:rPr>
        <w:rFonts w:hint="default"/>
        <w:lang w:val="el-GR" w:eastAsia="el-GR" w:bidi="el-GR"/>
      </w:rPr>
    </w:lvl>
    <w:lvl w:ilvl="3" w:tplc="791C8E46">
      <w:numFmt w:val="bullet"/>
      <w:lvlText w:val="•"/>
      <w:lvlJc w:val="left"/>
      <w:pPr>
        <w:ind w:left="3771" w:hanging="360"/>
      </w:pPr>
      <w:rPr>
        <w:rFonts w:hint="default"/>
        <w:lang w:val="el-GR" w:eastAsia="el-GR" w:bidi="el-GR"/>
      </w:rPr>
    </w:lvl>
    <w:lvl w:ilvl="4" w:tplc="7E5E83E8">
      <w:numFmt w:val="bullet"/>
      <w:lvlText w:val="•"/>
      <w:lvlJc w:val="left"/>
      <w:pPr>
        <w:ind w:left="4702" w:hanging="360"/>
      </w:pPr>
      <w:rPr>
        <w:rFonts w:hint="default"/>
        <w:lang w:val="el-GR" w:eastAsia="el-GR" w:bidi="el-GR"/>
      </w:rPr>
    </w:lvl>
    <w:lvl w:ilvl="5" w:tplc="F32A58D6">
      <w:numFmt w:val="bullet"/>
      <w:lvlText w:val="•"/>
      <w:lvlJc w:val="left"/>
      <w:pPr>
        <w:ind w:left="5633" w:hanging="360"/>
      </w:pPr>
      <w:rPr>
        <w:rFonts w:hint="default"/>
        <w:lang w:val="el-GR" w:eastAsia="el-GR" w:bidi="el-GR"/>
      </w:rPr>
    </w:lvl>
    <w:lvl w:ilvl="6" w:tplc="740A0858">
      <w:numFmt w:val="bullet"/>
      <w:lvlText w:val="•"/>
      <w:lvlJc w:val="left"/>
      <w:pPr>
        <w:ind w:left="6563" w:hanging="360"/>
      </w:pPr>
      <w:rPr>
        <w:rFonts w:hint="default"/>
        <w:lang w:val="el-GR" w:eastAsia="el-GR" w:bidi="el-GR"/>
      </w:rPr>
    </w:lvl>
    <w:lvl w:ilvl="7" w:tplc="82F8FAD4">
      <w:numFmt w:val="bullet"/>
      <w:lvlText w:val="•"/>
      <w:lvlJc w:val="left"/>
      <w:pPr>
        <w:ind w:left="7494" w:hanging="360"/>
      </w:pPr>
      <w:rPr>
        <w:rFonts w:hint="default"/>
        <w:lang w:val="el-GR" w:eastAsia="el-GR" w:bidi="el-GR"/>
      </w:rPr>
    </w:lvl>
    <w:lvl w:ilvl="8" w:tplc="649AFD7A">
      <w:numFmt w:val="bullet"/>
      <w:lvlText w:val="•"/>
      <w:lvlJc w:val="left"/>
      <w:pPr>
        <w:ind w:left="8425" w:hanging="360"/>
      </w:pPr>
      <w:rPr>
        <w:rFonts w:hint="default"/>
        <w:lang w:val="el-GR" w:eastAsia="el-GR" w:bidi="el-GR"/>
      </w:rPr>
    </w:lvl>
  </w:abstractNum>
  <w:abstractNum w:abstractNumId="11" w15:restartNumberingAfterBreak="0">
    <w:nsid w:val="49126946"/>
    <w:multiLevelType w:val="hybridMultilevel"/>
    <w:tmpl w:val="91DE6634"/>
    <w:lvl w:ilvl="0" w:tplc="328ECFC6">
      <w:start w:val="1"/>
      <w:numFmt w:val="bullet"/>
      <w:lvlText w:val=""/>
      <w:lvlJc w:val="left"/>
      <w:pPr>
        <w:ind w:left="216" w:hanging="216"/>
      </w:pPr>
      <w:rPr>
        <w:rFonts w:ascii="Symbol" w:hAnsi="Symbol" w:hint="default"/>
        <w:b w:val="0"/>
        <w:i w:val="0"/>
        <w:sz w:val="11"/>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A1A49"/>
    <w:multiLevelType w:val="hybridMultilevel"/>
    <w:tmpl w:val="1FBA93DE"/>
    <w:lvl w:ilvl="0" w:tplc="60D68DF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84DC5"/>
    <w:multiLevelType w:val="hybridMultilevel"/>
    <w:tmpl w:val="7DD250BE"/>
    <w:lvl w:ilvl="0" w:tplc="D39EFA6C">
      <w:start w:val="1"/>
      <w:numFmt w:val="bullet"/>
      <w:lvlText w:val=""/>
      <w:lvlJc w:val="left"/>
      <w:pPr>
        <w:ind w:left="216" w:hanging="216"/>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E1EF4"/>
    <w:multiLevelType w:val="hybridMultilevel"/>
    <w:tmpl w:val="3E083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7B2843"/>
    <w:multiLevelType w:val="multilevel"/>
    <w:tmpl w:val="A1D0405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9B65ABA"/>
    <w:multiLevelType w:val="hybridMultilevel"/>
    <w:tmpl w:val="6B14505A"/>
    <w:lvl w:ilvl="0" w:tplc="4F8C138E">
      <w:start w:val="1"/>
      <w:numFmt w:val="bullet"/>
      <w:lvlText w:val=""/>
      <w:lvlJc w:val="left"/>
      <w:pPr>
        <w:ind w:left="216" w:hanging="216"/>
      </w:pPr>
      <w:rPr>
        <w:rFonts w:ascii="Symbol" w:hAnsi="Symbol" w:hint="default"/>
        <w:b w:val="0"/>
        <w:i w:val="0"/>
        <w:sz w:val="16"/>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46673"/>
    <w:multiLevelType w:val="hybridMultilevel"/>
    <w:tmpl w:val="42D2C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A6570C"/>
    <w:multiLevelType w:val="hybridMultilevel"/>
    <w:tmpl w:val="B8E00C5C"/>
    <w:lvl w:ilvl="0" w:tplc="DCA06C4A">
      <w:start w:val="1"/>
      <w:numFmt w:val="bullet"/>
      <w:lvlText w:val=""/>
      <w:lvlJc w:val="left"/>
      <w:pPr>
        <w:ind w:left="216" w:hanging="216"/>
      </w:pPr>
      <w:rPr>
        <w:rFonts w:ascii="Symbol" w:hAnsi="Symbol" w:hint="default"/>
        <w:b w:val="0"/>
        <w:i w:val="0"/>
        <w:sz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17F66"/>
    <w:multiLevelType w:val="hybridMultilevel"/>
    <w:tmpl w:val="750E2A2A"/>
    <w:lvl w:ilvl="0" w:tplc="20AA8F9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8130A"/>
    <w:multiLevelType w:val="hybridMultilevel"/>
    <w:tmpl w:val="ECD64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97FC4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99D7D66"/>
    <w:multiLevelType w:val="hybridMultilevel"/>
    <w:tmpl w:val="09F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C03B6"/>
    <w:multiLevelType w:val="hybridMultilevel"/>
    <w:tmpl w:val="521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73E32"/>
    <w:multiLevelType w:val="hybridMultilevel"/>
    <w:tmpl w:val="B660F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648175">
    <w:abstractNumId w:val="23"/>
  </w:num>
  <w:num w:numId="2" w16cid:durableId="122967678">
    <w:abstractNumId w:val="24"/>
  </w:num>
  <w:num w:numId="3" w16cid:durableId="656879437">
    <w:abstractNumId w:val="7"/>
  </w:num>
  <w:num w:numId="4" w16cid:durableId="294992811">
    <w:abstractNumId w:val="25"/>
  </w:num>
  <w:num w:numId="5" w16cid:durableId="1572617693">
    <w:abstractNumId w:val="25"/>
  </w:num>
  <w:num w:numId="6" w16cid:durableId="1617516041">
    <w:abstractNumId w:val="0"/>
  </w:num>
  <w:num w:numId="7" w16cid:durableId="288244045">
    <w:abstractNumId w:val="12"/>
  </w:num>
  <w:num w:numId="8" w16cid:durableId="899248573">
    <w:abstractNumId w:val="19"/>
  </w:num>
  <w:num w:numId="9" w16cid:durableId="377364940">
    <w:abstractNumId w:val="13"/>
  </w:num>
  <w:num w:numId="10" w16cid:durableId="804346830">
    <w:abstractNumId w:val="18"/>
  </w:num>
  <w:num w:numId="11" w16cid:durableId="1407918241">
    <w:abstractNumId w:val="11"/>
  </w:num>
  <w:num w:numId="12" w16cid:durableId="492531598">
    <w:abstractNumId w:val="16"/>
  </w:num>
  <w:num w:numId="13" w16cid:durableId="2104060693">
    <w:abstractNumId w:val="5"/>
  </w:num>
  <w:num w:numId="14" w16cid:durableId="368337010">
    <w:abstractNumId w:val="8"/>
  </w:num>
  <w:num w:numId="15" w16cid:durableId="1333290280">
    <w:abstractNumId w:val="4"/>
  </w:num>
  <w:num w:numId="16" w16cid:durableId="831410008">
    <w:abstractNumId w:val="15"/>
  </w:num>
  <w:num w:numId="17" w16cid:durableId="1634090950">
    <w:abstractNumId w:val="14"/>
  </w:num>
  <w:num w:numId="18" w16cid:durableId="1731923609">
    <w:abstractNumId w:val="20"/>
  </w:num>
  <w:num w:numId="19" w16cid:durableId="326980538">
    <w:abstractNumId w:val="17"/>
  </w:num>
  <w:num w:numId="20" w16cid:durableId="2073001912">
    <w:abstractNumId w:val="3"/>
  </w:num>
  <w:num w:numId="21" w16cid:durableId="1859926582">
    <w:abstractNumId w:val="6"/>
  </w:num>
  <w:num w:numId="22" w16cid:durableId="1899318596">
    <w:abstractNumId w:val="2"/>
  </w:num>
  <w:num w:numId="23" w16cid:durableId="2115322848">
    <w:abstractNumId w:val="10"/>
  </w:num>
  <w:num w:numId="24" w16cid:durableId="723601659">
    <w:abstractNumId w:val="22"/>
  </w:num>
  <w:num w:numId="25" w16cid:durableId="76679485">
    <w:abstractNumId w:val="1"/>
  </w:num>
  <w:num w:numId="26" w16cid:durableId="1295678587">
    <w:abstractNumId w:val="21"/>
  </w:num>
  <w:num w:numId="27" w16cid:durableId="1551305309">
    <w:abstractNumId w:val="9"/>
  </w:num>
  <w:num w:numId="28" w16cid:durableId="483862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FR"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E5"/>
    <w:rsid w:val="00000063"/>
    <w:rsid w:val="00000324"/>
    <w:rsid w:val="0000232C"/>
    <w:rsid w:val="00003762"/>
    <w:rsid w:val="00003C46"/>
    <w:rsid w:val="000046BF"/>
    <w:rsid w:val="00005371"/>
    <w:rsid w:val="0000688A"/>
    <w:rsid w:val="00006AB8"/>
    <w:rsid w:val="00006ADC"/>
    <w:rsid w:val="00006EBC"/>
    <w:rsid w:val="0000765A"/>
    <w:rsid w:val="00010112"/>
    <w:rsid w:val="000132BD"/>
    <w:rsid w:val="0001348D"/>
    <w:rsid w:val="000138B1"/>
    <w:rsid w:val="00014CC3"/>
    <w:rsid w:val="00014FB5"/>
    <w:rsid w:val="000150B2"/>
    <w:rsid w:val="00015514"/>
    <w:rsid w:val="000155E7"/>
    <w:rsid w:val="000162F3"/>
    <w:rsid w:val="00016A54"/>
    <w:rsid w:val="000173F3"/>
    <w:rsid w:val="00021080"/>
    <w:rsid w:val="0002184F"/>
    <w:rsid w:val="00022474"/>
    <w:rsid w:val="00022A1D"/>
    <w:rsid w:val="00022B1D"/>
    <w:rsid w:val="00022D3F"/>
    <w:rsid w:val="00022E4A"/>
    <w:rsid w:val="00022EFC"/>
    <w:rsid w:val="00023B12"/>
    <w:rsid w:val="00024B9E"/>
    <w:rsid w:val="000268B2"/>
    <w:rsid w:val="00027129"/>
    <w:rsid w:val="00030DA4"/>
    <w:rsid w:val="00032118"/>
    <w:rsid w:val="0003222F"/>
    <w:rsid w:val="00032345"/>
    <w:rsid w:val="00032C4E"/>
    <w:rsid w:val="000342C0"/>
    <w:rsid w:val="00034864"/>
    <w:rsid w:val="00035034"/>
    <w:rsid w:val="000350FF"/>
    <w:rsid w:val="00036083"/>
    <w:rsid w:val="0003640E"/>
    <w:rsid w:val="00040099"/>
    <w:rsid w:val="000400EE"/>
    <w:rsid w:val="0004033C"/>
    <w:rsid w:val="0004068A"/>
    <w:rsid w:val="00040FF8"/>
    <w:rsid w:val="00041357"/>
    <w:rsid w:val="00041E3A"/>
    <w:rsid w:val="00042063"/>
    <w:rsid w:val="000422F7"/>
    <w:rsid w:val="00043A66"/>
    <w:rsid w:val="00043C5E"/>
    <w:rsid w:val="00043FB7"/>
    <w:rsid w:val="000441EC"/>
    <w:rsid w:val="000443CA"/>
    <w:rsid w:val="0004557E"/>
    <w:rsid w:val="00045F4E"/>
    <w:rsid w:val="00047977"/>
    <w:rsid w:val="00047FD8"/>
    <w:rsid w:val="00050BAD"/>
    <w:rsid w:val="000510AC"/>
    <w:rsid w:val="0005181B"/>
    <w:rsid w:val="000529E2"/>
    <w:rsid w:val="00052E97"/>
    <w:rsid w:val="00052FBB"/>
    <w:rsid w:val="00053880"/>
    <w:rsid w:val="00053D65"/>
    <w:rsid w:val="00053D84"/>
    <w:rsid w:val="000547BE"/>
    <w:rsid w:val="00055139"/>
    <w:rsid w:val="0005529E"/>
    <w:rsid w:val="00055C93"/>
    <w:rsid w:val="00055FB6"/>
    <w:rsid w:val="00056BD0"/>
    <w:rsid w:val="00056C6B"/>
    <w:rsid w:val="00057A35"/>
    <w:rsid w:val="000603FC"/>
    <w:rsid w:val="00061030"/>
    <w:rsid w:val="000613F6"/>
    <w:rsid w:val="0006151B"/>
    <w:rsid w:val="00061853"/>
    <w:rsid w:val="000619A8"/>
    <w:rsid w:val="00061CD0"/>
    <w:rsid w:val="00061E87"/>
    <w:rsid w:val="000621DE"/>
    <w:rsid w:val="00062751"/>
    <w:rsid w:val="00063078"/>
    <w:rsid w:val="0006387F"/>
    <w:rsid w:val="00063E72"/>
    <w:rsid w:val="00063F4D"/>
    <w:rsid w:val="00064049"/>
    <w:rsid w:val="00065903"/>
    <w:rsid w:val="0006769E"/>
    <w:rsid w:val="00067CA2"/>
    <w:rsid w:val="00070482"/>
    <w:rsid w:val="000716B2"/>
    <w:rsid w:val="0007382A"/>
    <w:rsid w:val="000742FE"/>
    <w:rsid w:val="00074303"/>
    <w:rsid w:val="000744F5"/>
    <w:rsid w:val="00074CC1"/>
    <w:rsid w:val="000762CF"/>
    <w:rsid w:val="000762EC"/>
    <w:rsid w:val="00076F89"/>
    <w:rsid w:val="00082D4E"/>
    <w:rsid w:val="0008328A"/>
    <w:rsid w:val="00083367"/>
    <w:rsid w:val="000834D0"/>
    <w:rsid w:val="0008395E"/>
    <w:rsid w:val="00083D48"/>
    <w:rsid w:val="00085AAC"/>
    <w:rsid w:val="00086831"/>
    <w:rsid w:val="000872D5"/>
    <w:rsid w:val="0009146A"/>
    <w:rsid w:val="00092297"/>
    <w:rsid w:val="0009239C"/>
    <w:rsid w:val="0009247D"/>
    <w:rsid w:val="0009304B"/>
    <w:rsid w:val="000931AA"/>
    <w:rsid w:val="000932D8"/>
    <w:rsid w:val="00093C6C"/>
    <w:rsid w:val="00094468"/>
    <w:rsid w:val="00094E1D"/>
    <w:rsid w:val="000959ED"/>
    <w:rsid w:val="00096577"/>
    <w:rsid w:val="00096AF8"/>
    <w:rsid w:val="00096ED6"/>
    <w:rsid w:val="000972AB"/>
    <w:rsid w:val="000A069A"/>
    <w:rsid w:val="000A3258"/>
    <w:rsid w:val="000A378E"/>
    <w:rsid w:val="000A53C2"/>
    <w:rsid w:val="000A53D6"/>
    <w:rsid w:val="000A61CF"/>
    <w:rsid w:val="000A736B"/>
    <w:rsid w:val="000B0BCD"/>
    <w:rsid w:val="000B0CCF"/>
    <w:rsid w:val="000B2E4D"/>
    <w:rsid w:val="000B33A7"/>
    <w:rsid w:val="000B3BE4"/>
    <w:rsid w:val="000B4778"/>
    <w:rsid w:val="000B48E0"/>
    <w:rsid w:val="000B4974"/>
    <w:rsid w:val="000B4E92"/>
    <w:rsid w:val="000B56F3"/>
    <w:rsid w:val="000B5A27"/>
    <w:rsid w:val="000B5D1E"/>
    <w:rsid w:val="000B5D8C"/>
    <w:rsid w:val="000B6EC9"/>
    <w:rsid w:val="000B7DF4"/>
    <w:rsid w:val="000C09AA"/>
    <w:rsid w:val="000C15ED"/>
    <w:rsid w:val="000C23F9"/>
    <w:rsid w:val="000C274E"/>
    <w:rsid w:val="000C30CB"/>
    <w:rsid w:val="000C3353"/>
    <w:rsid w:val="000C398C"/>
    <w:rsid w:val="000C3F65"/>
    <w:rsid w:val="000C3F97"/>
    <w:rsid w:val="000C3F9C"/>
    <w:rsid w:val="000C5007"/>
    <w:rsid w:val="000C5468"/>
    <w:rsid w:val="000C5828"/>
    <w:rsid w:val="000C666D"/>
    <w:rsid w:val="000C687A"/>
    <w:rsid w:val="000D1A1F"/>
    <w:rsid w:val="000D1B0B"/>
    <w:rsid w:val="000D24BE"/>
    <w:rsid w:val="000D2F08"/>
    <w:rsid w:val="000D315B"/>
    <w:rsid w:val="000D3E1F"/>
    <w:rsid w:val="000D4388"/>
    <w:rsid w:val="000D473E"/>
    <w:rsid w:val="000D4D9B"/>
    <w:rsid w:val="000D5522"/>
    <w:rsid w:val="000D558D"/>
    <w:rsid w:val="000D5AC5"/>
    <w:rsid w:val="000D687E"/>
    <w:rsid w:val="000E0441"/>
    <w:rsid w:val="000E0FE2"/>
    <w:rsid w:val="000E19D3"/>
    <w:rsid w:val="000E3858"/>
    <w:rsid w:val="000E53B4"/>
    <w:rsid w:val="000E5A7F"/>
    <w:rsid w:val="000E76CC"/>
    <w:rsid w:val="000E7F3E"/>
    <w:rsid w:val="000F0E44"/>
    <w:rsid w:val="000F24A3"/>
    <w:rsid w:val="000F2A80"/>
    <w:rsid w:val="000F36BD"/>
    <w:rsid w:val="000F3B5E"/>
    <w:rsid w:val="000F4461"/>
    <w:rsid w:val="000F4D34"/>
    <w:rsid w:val="000F54F3"/>
    <w:rsid w:val="000F5935"/>
    <w:rsid w:val="000F6207"/>
    <w:rsid w:val="000F77BA"/>
    <w:rsid w:val="000F7955"/>
    <w:rsid w:val="0010067A"/>
    <w:rsid w:val="0010103B"/>
    <w:rsid w:val="00101929"/>
    <w:rsid w:val="00101CD0"/>
    <w:rsid w:val="00101FB9"/>
    <w:rsid w:val="00102B4F"/>
    <w:rsid w:val="0010587D"/>
    <w:rsid w:val="00105ED8"/>
    <w:rsid w:val="00106705"/>
    <w:rsid w:val="00106EBB"/>
    <w:rsid w:val="0011015B"/>
    <w:rsid w:val="0011059D"/>
    <w:rsid w:val="001107CC"/>
    <w:rsid w:val="00110AC2"/>
    <w:rsid w:val="00110EC7"/>
    <w:rsid w:val="001110E9"/>
    <w:rsid w:val="0011263B"/>
    <w:rsid w:val="00112ACF"/>
    <w:rsid w:val="001136E5"/>
    <w:rsid w:val="00113E4B"/>
    <w:rsid w:val="00117EB4"/>
    <w:rsid w:val="001203FA"/>
    <w:rsid w:val="001209AF"/>
    <w:rsid w:val="00120CD8"/>
    <w:rsid w:val="00121F29"/>
    <w:rsid w:val="00122314"/>
    <w:rsid w:val="001223FC"/>
    <w:rsid w:val="001225DE"/>
    <w:rsid w:val="00123026"/>
    <w:rsid w:val="001237EC"/>
    <w:rsid w:val="001239ED"/>
    <w:rsid w:val="001249C6"/>
    <w:rsid w:val="00124CA1"/>
    <w:rsid w:val="00125737"/>
    <w:rsid w:val="00125B27"/>
    <w:rsid w:val="00127BCB"/>
    <w:rsid w:val="0013046F"/>
    <w:rsid w:val="00130588"/>
    <w:rsid w:val="00130741"/>
    <w:rsid w:val="00130785"/>
    <w:rsid w:val="0013085B"/>
    <w:rsid w:val="00131C06"/>
    <w:rsid w:val="00131F93"/>
    <w:rsid w:val="00132E8C"/>
    <w:rsid w:val="00132F82"/>
    <w:rsid w:val="00133726"/>
    <w:rsid w:val="00133CEF"/>
    <w:rsid w:val="0013468C"/>
    <w:rsid w:val="00134E95"/>
    <w:rsid w:val="0013551A"/>
    <w:rsid w:val="0013707C"/>
    <w:rsid w:val="00137760"/>
    <w:rsid w:val="00140023"/>
    <w:rsid w:val="001402FD"/>
    <w:rsid w:val="00141AFF"/>
    <w:rsid w:val="00141BE4"/>
    <w:rsid w:val="00142018"/>
    <w:rsid w:val="0014226E"/>
    <w:rsid w:val="00142CCB"/>
    <w:rsid w:val="001437B9"/>
    <w:rsid w:val="00143A23"/>
    <w:rsid w:val="00144405"/>
    <w:rsid w:val="0014447B"/>
    <w:rsid w:val="00145C16"/>
    <w:rsid w:val="00145D2C"/>
    <w:rsid w:val="00146E7D"/>
    <w:rsid w:val="0014709A"/>
    <w:rsid w:val="00147B28"/>
    <w:rsid w:val="00150C2C"/>
    <w:rsid w:val="00150CB6"/>
    <w:rsid w:val="00151A1D"/>
    <w:rsid w:val="00154797"/>
    <w:rsid w:val="0015597F"/>
    <w:rsid w:val="00156957"/>
    <w:rsid w:val="00156C8C"/>
    <w:rsid w:val="00160657"/>
    <w:rsid w:val="00160C8A"/>
    <w:rsid w:val="001626C0"/>
    <w:rsid w:val="00162A60"/>
    <w:rsid w:val="0016390D"/>
    <w:rsid w:val="00164CC7"/>
    <w:rsid w:val="00164E35"/>
    <w:rsid w:val="00165217"/>
    <w:rsid w:val="00165F0D"/>
    <w:rsid w:val="00166E90"/>
    <w:rsid w:val="00166EAD"/>
    <w:rsid w:val="0017038D"/>
    <w:rsid w:val="001711E1"/>
    <w:rsid w:val="00171E5E"/>
    <w:rsid w:val="00171F5A"/>
    <w:rsid w:val="00172969"/>
    <w:rsid w:val="0017310E"/>
    <w:rsid w:val="00173531"/>
    <w:rsid w:val="0017414C"/>
    <w:rsid w:val="00174679"/>
    <w:rsid w:val="00175900"/>
    <w:rsid w:val="001762B0"/>
    <w:rsid w:val="001762BE"/>
    <w:rsid w:val="001764F3"/>
    <w:rsid w:val="00176781"/>
    <w:rsid w:val="00177C40"/>
    <w:rsid w:val="001820A6"/>
    <w:rsid w:val="00183819"/>
    <w:rsid w:val="00183CDC"/>
    <w:rsid w:val="0018475F"/>
    <w:rsid w:val="00184E74"/>
    <w:rsid w:val="00186039"/>
    <w:rsid w:val="001873EA"/>
    <w:rsid w:val="00190A43"/>
    <w:rsid w:val="00191B24"/>
    <w:rsid w:val="00192C64"/>
    <w:rsid w:val="001934C9"/>
    <w:rsid w:val="00193AB5"/>
    <w:rsid w:val="00194156"/>
    <w:rsid w:val="001944D6"/>
    <w:rsid w:val="00194BD5"/>
    <w:rsid w:val="00196382"/>
    <w:rsid w:val="00196742"/>
    <w:rsid w:val="00196EB2"/>
    <w:rsid w:val="00197031"/>
    <w:rsid w:val="00197604"/>
    <w:rsid w:val="00197B20"/>
    <w:rsid w:val="00197D1D"/>
    <w:rsid w:val="00197EEB"/>
    <w:rsid w:val="001A006A"/>
    <w:rsid w:val="001A1ADF"/>
    <w:rsid w:val="001A325A"/>
    <w:rsid w:val="001A3E39"/>
    <w:rsid w:val="001A443D"/>
    <w:rsid w:val="001A47FD"/>
    <w:rsid w:val="001A4B6C"/>
    <w:rsid w:val="001A4F48"/>
    <w:rsid w:val="001A6905"/>
    <w:rsid w:val="001A7B1D"/>
    <w:rsid w:val="001B0169"/>
    <w:rsid w:val="001B0D99"/>
    <w:rsid w:val="001B11AE"/>
    <w:rsid w:val="001B1902"/>
    <w:rsid w:val="001B1980"/>
    <w:rsid w:val="001B44D1"/>
    <w:rsid w:val="001B4988"/>
    <w:rsid w:val="001B5300"/>
    <w:rsid w:val="001B5B12"/>
    <w:rsid w:val="001B6838"/>
    <w:rsid w:val="001B687E"/>
    <w:rsid w:val="001B7147"/>
    <w:rsid w:val="001B7AF3"/>
    <w:rsid w:val="001B7B60"/>
    <w:rsid w:val="001B7C03"/>
    <w:rsid w:val="001B7F16"/>
    <w:rsid w:val="001C071C"/>
    <w:rsid w:val="001C12FF"/>
    <w:rsid w:val="001C1B98"/>
    <w:rsid w:val="001C22E8"/>
    <w:rsid w:val="001C3262"/>
    <w:rsid w:val="001C331E"/>
    <w:rsid w:val="001C3410"/>
    <w:rsid w:val="001C3A4D"/>
    <w:rsid w:val="001C3BD2"/>
    <w:rsid w:val="001C4726"/>
    <w:rsid w:val="001C4854"/>
    <w:rsid w:val="001C49A1"/>
    <w:rsid w:val="001C4B37"/>
    <w:rsid w:val="001C58BB"/>
    <w:rsid w:val="001C6E8D"/>
    <w:rsid w:val="001C7208"/>
    <w:rsid w:val="001C78B4"/>
    <w:rsid w:val="001D01BB"/>
    <w:rsid w:val="001D043A"/>
    <w:rsid w:val="001D0D5F"/>
    <w:rsid w:val="001D1669"/>
    <w:rsid w:val="001D1C4D"/>
    <w:rsid w:val="001D2CCD"/>
    <w:rsid w:val="001D3024"/>
    <w:rsid w:val="001D5B89"/>
    <w:rsid w:val="001D5FAC"/>
    <w:rsid w:val="001D6420"/>
    <w:rsid w:val="001D6487"/>
    <w:rsid w:val="001D728E"/>
    <w:rsid w:val="001E045C"/>
    <w:rsid w:val="001E0513"/>
    <w:rsid w:val="001E21E5"/>
    <w:rsid w:val="001E22BC"/>
    <w:rsid w:val="001E24CB"/>
    <w:rsid w:val="001E440A"/>
    <w:rsid w:val="001E4D9E"/>
    <w:rsid w:val="001E6550"/>
    <w:rsid w:val="001E6BB0"/>
    <w:rsid w:val="001E6D66"/>
    <w:rsid w:val="001E79AE"/>
    <w:rsid w:val="001F0E1F"/>
    <w:rsid w:val="001F16CD"/>
    <w:rsid w:val="001F1CC9"/>
    <w:rsid w:val="001F2ACA"/>
    <w:rsid w:val="001F375D"/>
    <w:rsid w:val="001F3B1D"/>
    <w:rsid w:val="001F4F49"/>
    <w:rsid w:val="001F5164"/>
    <w:rsid w:val="001F5678"/>
    <w:rsid w:val="001F624A"/>
    <w:rsid w:val="001F62B0"/>
    <w:rsid w:val="001F6649"/>
    <w:rsid w:val="001F6A13"/>
    <w:rsid w:val="001F7E08"/>
    <w:rsid w:val="00200504"/>
    <w:rsid w:val="002008BA"/>
    <w:rsid w:val="00201038"/>
    <w:rsid w:val="00201271"/>
    <w:rsid w:val="002026CC"/>
    <w:rsid w:val="00202B77"/>
    <w:rsid w:val="00202F78"/>
    <w:rsid w:val="00203306"/>
    <w:rsid w:val="00203744"/>
    <w:rsid w:val="00203DDB"/>
    <w:rsid w:val="002046C3"/>
    <w:rsid w:val="00204955"/>
    <w:rsid w:val="00205895"/>
    <w:rsid w:val="00205F7E"/>
    <w:rsid w:val="00207676"/>
    <w:rsid w:val="00207C14"/>
    <w:rsid w:val="00210735"/>
    <w:rsid w:val="00211366"/>
    <w:rsid w:val="0021168E"/>
    <w:rsid w:val="00211B06"/>
    <w:rsid w:val="00212A6D"/>
    <w:rsid w:val="00212C63"/>
    <w:rsid w:val="00212E28"/>
    <w:rsid w:val="00213CDD"/>
    <w:rsid w:val="00214006"/>
    <w:rsid w:val="00215759"/>
    <w:rsid w:val="00215923"/>
    <w:rsid w:val="0021599F"/>
    <w:rsid w:val="00215BCF"/>
    <w:rsid w:val="00216168"/>
    <w:rsid w:val="00216286"/>
    <w:rsid w:val="00216349"/>
    <w:rsid w:val="00217231"/>
    <w:rsid w:val="00220521"/>
    <w:rsid w:val="00221CAB"/>
    <w:rsid w:val="00221F25"/>
    <w:rsid w:val="0022244D"/>
    <w:rsid w:val="002226E5"/>
    <w:rsid w:val="00222CE5"/>
    <w:rsid w:val="002238C1"/>
    <w:rsid w:val="0022390B"/>
    <w:rsid w:val="00224331"/>
    <w:rsid w:val="00225117"/>
    <w:rsid w:val="00225171"/>
    <w:rsid w:val="0022522E"/>
    <w:rsid w:val="00225330"/>
    <w:rsid w:val="002258FA"/>
    <w:rsid w:val="00225B5C"/>
    <w:rsid w:val="00225D91"/>
    <w:rsid w:val="002263CD"/>
    <w:rsid w:val="00226EEC"/>
    <w:rsid w:val="00231016"/>
    <w:rsid w:val="00231E8A"/>
    <w:rsid w:val="00232211"/>
    <w:rsid w:val="00232A78"/>
    <w:rsid w:val="00233CC4"/>
    <w:rsid w:val="00233D31"/>
    <w:rsid w:val="0023470B"/>
    <w:rsid w:val="00236C94"/>
    <w:rsid w:val="00236D91"/>
    <w:rsid w:val="00236E9C"/>
    <w:rsid w:val="00237559"/>
    <w:rsid w:val="00240A3D"/>
    <w:rsid w:val="00240C33"/>
    <w:rsid w:val="00240EEF"/>
    <w:rsid w:val="002410F5"/>
    <w:rsid w:val="00242D9B"/>
    <w:rsid w:val="00243666"/>
    <w:rsid w:val="002450AE"/>
    <w:rsid w:val="0024567F"/>
    <w:rsid w:val="00245738"/>
    <w:rsid w:val="00245CFC"/>
    <w:rsid w:val="00247853"/>
    <w:rsid w:val="002502E2"/>
    <w:rsid w:val="002504A1"/>
    <w:rsid w:val="00251FC0"/>
    <w:rsid w:val="00252F5F"/>
    <w:rsid w:val="002543FC"/>
    <w:rsid w:val="00254852"/>
    <w:rsid w:val="00255471"/>
    <w:rsid w:val="00256063"/>
    <w:rsid w:val="00256198"/>
    <w:rsid w:val="002573A9"/>
    <w:rsid w:val="00257501"/>
    <w:rsid w:val="00260254"/>
    <w:rsid w:val="00260673"/>
    <w:rsid w:val="002608F8"/>
    <w:rsid w:val="00260CC8"/>
    <w:rsid w:val="002611F8"/>
    <w:rsid w:val="00261F2B"/>
    <w:rsid w:val="00262243"/>
    <w:rsid w:val="002623DA"/>
    <w:rsid w:val="00262956"/>
    <w:rsid w:val="00263266"/>
    <w:rsid w:val="0026344A"/>
    <w:rsid w:val="00264294"/>
    <w:rsid w:val="00264F4E"/>
    <w:rsid w:val="00265B1A"/>
    <w:rsid w:val="00265D75"/>
    <w:rsid w:val="0026760A"/>
    <w:rsid w:val="00270485"/>
    <w:rsid w:val="00270597"/>
    <w:rsid w:val="00271DED"/>
    <w:rsid w:val="002720C1"/>
    <w:rsid w:val="00272D08"/>
    <w:rsid w:val="002735A0"/>
    <w:rsid w:val="00273AF9"/>
    <w:rsid w:val="00274294"/>
    <w:rsid w:val="00275032"/>
    <w:rsid w:val="00277389"/>
    <w:rsid w:val="002777BA"/>
    <w:rsid w:val="0028065E"/>
    <w:rsid w:val="00280878"/>
    <w:rsid w:val="0028169B"/>
    <w:rsid w:val="0028176E"/>
    <w:rsid w:val="0028264C"/>
    <w:rsid w:val="00283789"/>
    <w:rsid w:val="0028383D"/>
    <w:rsid w:val="00283F1F"/>
    <w:rsid w:val="00286073"/>
    <w:rsid w:val="0028616A"/>
    <w:rsid w:val="00286C92"/>
    <w:rsid w:val="0029079A"/>
    <w:rsid w:val="002927F9"/>
    <w:rsid w:val="00292CB1"/>
    <w:rsid w:val="002938F3"/>
    <w:rsid w:val="002942DA"/>
    <w:rsid w:val="0029533B"/>
    <w:rsid w:val="00295BF8"/>
    <w:rsid w:val="00297407"/>
    <w:rsid w:val="00297518"/>
    <w:rsid w:val="0029752F"/>
    <w:rsid w:val="002978D4"/>
    <w:rsid w:val="002A0D33"/>
    <w:rsid w:val="002A10B4"/>
    <w:rsid w:val="002A1B7D"/>
    <w:rsid w:val="002A1EE4"/>
    <w:rsid w:val="002A27BF"/>
    <w:rsid w:val="002A39E8"/>
    <w:rsid w:val="002A3CAD"/>
    <w:rsid w:val="002A3E0C"/>
    <w:rsid w:val="002A44EC"/>
    <w:rsid w:val="002A456C"/>
    <w:rsid w:val="002A49DE"/>
    <w:rsid w:val="002A4C60"/>
    <w:rsid w:val="002A4EAC"/>
    <w:rsid w:val="002A50DB"/>
    <w:rsid w:val="002A66A6"/>
    <w:rsid w:val="002A6FC9"/>
    <w:rsid w:val="002A7272"/>
    <w:rsid w:val="002A75C0"/>
    <w:rsid w:val="002B09D4"/>
    <w:rsid w:val="002B0FF3"/>
    <w:rsid w:val="002B124D"/>
    <w:rsid w:val="002B1588"/>
    <w:rsid w:val="002B160D"/>
    <w:rsid w:val="002B33E1"/>
    <w:rsid w:val="002B43BC"/>
    <w:rsid w:val="002B44C0"/>
    <w:rsid w:val="002B4EC1"/>
    <w:rsid w:val="002B512C"/>
    <w:rsid w:val="002B547B"/>
    <w:rsid w:val="002B6968"/>
    <w:rsid w:val="002C0856"/>
    <w:rsid w:val="002C09EE"/>
    <w:rsid w:val="002C0DB3"/>
    <w:rsid w:val="002C0E95"/>
    <w:rsid w:val="002C1181"/>
    <w:rsid w:val="002C11C8"/>
    <w:rsid w:val="002C1FC3"/>
    <w:rsid w:val="002C37CE"/>
    <w:rsid w:val="002C3BEA"/>
    <w:rsid w:val="002C3D6C"/>
    <w:rsid w:val="002C4747"/>
    <w:rsid w:val="002C4ACB"/>
    <w:rsid w:val="002C4FCE"/>
    <w:rsid w:val="002C6724"/>
    <w:rsid w:val="002C6755"/>
    <w:rsid w:val="002C68BE"/>
    <w:rsid w:val="002C7472"/>
    <w:rsid w:val="002D05ED"/>
    <w:rsid w:val="002D1579"/>
    <w:rsid w:val="002D15B7"/>
    <w:rsid w:val="002D16DB"/>
    <w:rsid w:val="002D27BD"/>
    <w:rsid w:val="002D4402"/>
    <w:rsid w:val="002D4A33"/>
    <w:rsid w:val="002D4AC7"/>
    <w:rsid w:val="002D4DA6"/>
    <w:rsid w:val="002D7D8B"/>
    <w:rsid w:val="002E01A7"/>
    <w:rsid w:val="002E16B7"/>
    <w:rsid w:val="002E1F89"/>
    <w:rsid w:val="002E462E"/>
    <w:rsid w:val="002E49E4"/>
    <w:rsid w:val="002E49FA"/>
    <w:rsid w:val="002E4E4E"/>
    <w:rsid w:val="002E597F"/>
    <w:rsid w:val="002E6613"/>
    <w:rsid w:val="002F03C9"/>
    <w:rsid w:val="002F05AB"/>
    <w:rsid w:val="002F0F87"/>
    <w:rsid w:val="002F1151"/>
    <w:rsid w:val="002F16A6"/>
    <w:rsid w:val="002F27F0"/>
    <w:rsid w:val="002F2EC7"/>
    <w:rsid w:val="002F2F4F"/>
    <w:rsid w:val="002F2F98"/>
    <w:rsid w:val="002F3B72"/>
    <w:rsid w:val="002F47C3"/>
    <w:rsid w:val="002F49B2"/>
    <w:rsid w:val="002F5A98"/>
    <w:rsid w:val="002F6322"/>
    <w:rsid w:val="002F6943"/>
    <w:rsid w:val="002F7E97"/>
    <w:rsid w:val="0030015E"/>
    <w:rsid w:val="0030025C"/>
    <w:rsid w:val="00301076"/>
    <w:rsid w:val="0030356F"/>
    <w:rsid w:val="00303A41"/>
    <w:rsid w:val="00303BA4"/>
    <w:rsid w:val="00303DC3"/>
    <w:rsid w:val="00303E44"/>
    <w:rsid w:val="00304561"/>
    <w:rsid w:val="00304790"/>
    <w:rsid w:val="00304B38"/>
    <w:rsid w:val="003059C6"/>
    <w:rsid w:val="00307BE0"/>
    <w:rsid w:val="00311A18"/>
    <w:rsid w:val="00312610"/>
    <w:rsid w:val="0031270D"/>
    <w:rsid w:val="003132F0"/>
    <w:rsid w:val="0031443E"/>
    <w:rsid w:val="00314834"/>
    <w:rsid w:val="00315816"/>
    <w:rsid w:val="0031610D"/>
    <w:rsid w:val="00316D7B"/>
    <w:rsid w:val="00317F9D"/>
    <w:rsid w:val="0032020C"/>
    <w:rsid w:val="00320BB0"/>
    <w:rsid w:val="00321C4B"/>
    <w:rsid w:val="00321C68"/>
    <w:rsid w:val="003237EC"/>
    <w:rsid w:val="00324487"/>
    <w:rsid w:val="00324CF3"/>
    <w:rsid w:val="00324EBB"/>
    <w:rsid w:val="00325F53"/>
    <w:rsid w:val="00326F62"/>
    <w:rsid w:val="0032728D"/>
    <w:rsid w:val="0033012B"/>
    <w:rsid w:val="003308FF"/>
    <w:rsid w:val="003310B1"/>
    <w:rsid w:val="00331A15"/>
    <w:rsid w:val="00331DC7"/>
    <w:rsid w:val="003325FE"/>
    <w:rsid w:val="00332D37"/>
    <w:rsid w:val="003332AD"/>
    <w:rsid w:val="00333A29"/>
    <w:rsid w:val="00334D80"/>
    <w:rsid w:val="00335642"/>
    <w:rsid w:val="00335DF1"/>
    <w:rsid w:val="00335EF7"/>
    <w:rsid w:val="0033608D"/>
    <w:rsid w:val="00337933"/>
    <w:rsid w:val="00340ADA"/>
    <w:rsid w:val="00340DEE"/>
    <w:rsid w:val="0034236D"/>
    <w:rsid w:val="0034309D"/>
    <w:rsid w:val="00344995"/>
    <w:rsid w:val="00345B7F"/>
    <w:rsid w:val="00345B88"/>
    <w:rsid w:val="0034681D"/>
    <w:rsid w:val="0034696B"/>
    <w:rsid w:val="0034739C"/>
    <w:rsid w:val="0034759A"/>
    <w:rsid w:val="0034779E"/>
    <w:rsid w:val="003477F6"/>
    <w:rsid w:val="00347AC5"/>
    <w:rsid w:val="00347AD5"/>
    <w:rsid w:val="003505AA"/>
    <w:rsid w:val="00350F7D"/>
    <w:rsid w:val="0035215C"/>
    <w:rsid w:val="0035271E"/>
    <w:rsid w:val="003532F6"/>
    <w:rsid w:val="00353864"/>
    <w:rsid w:val="00354115"/>
    <w:rsid w:val="00354129"/>
    <w:rsid w:val="0035481D"/>
    <w:rsid w:val="00355A02"/>
    <w:rsid w:val="00355B75"/>
    <w:rsid w:val="00355C34"/>
    <w:rsid w:val="0035791F"/>
    <w:rsid w:val="00357934"/>
    <w:rsid w:val="00361F5F"/>
    <w:rsid w:val="003621C6"/>
    <w:rsid w:val="00363031"/>
    <w:rsid w:val="003633A0"/>
    <w:rsid w:val="00364920"/>
    <w:rsid w:val="00364D0F"/>
    <w:rsid w:val="00365312"/>
    <w:rsid w:val="0036624A"/>
    <w:rsid w:val="00367BD4"/>
    <w:rsid w:val="00370078"/>
    <w:rsid w:val="00370215"/>
    <w:rsid w:val="003734E8"/>
    <w:rsid w:val="0037385D"/>
    <w:rsid w:val="0037465E"/>
    <w:rsid w:val="00374C69"/>
    <w:rsid w:val="003751E3"/>
    <w:rsid w:val="00375711"/>
    <w:rsid w:val="0038047F"/>
    <w:rsid w:val="00380597"/>
    <w:rsid w:val="00380903"/>
    <w:rsid w:val="00382007"/>
    <w:rsid w:val="00382924"/>
    <w:rsid w:val="00382B27"/>
    <w:rsid w:val="00383107"/>
    <w:rsid w:val="00383381"/>
    <w:rsid w:val="00384192"/>
    <w:rsid w:val="003846DB"/>
    <w:rsid w:val="00384720"/>
    <w:rsid w:val="00386206"/>
    <w:rsid w:val="00386C59"/>
    <w:rsid w:val="00387749"/>
    <w:rsid w:val="00387B46"/>
    <w:rsid w:val="0039011E"/>
    <w:rsid w:val="00391286"/>
    <w:rsid w:val="00391B21"/>
    <w:rsid w:val="003925DB"/>
    <w:rsid w:val="003929D3"/>
    <w:rsid w:val="00393AD9"/>
    <w:rsid w:val="003943A6"/>
    <w:rsid w:val="0039475E"/>
    <w:rsid w:val="00395656"/>
    <w:rsid w:val="00396691"/>
    <w:rsid w:val="003A03D8"/>
    <w:rsid w:val="003A102C"/>
    <w:rsid w:val="003A12A2"/>
    <w:rsid w:val="003A1F57"/>
    <w:rsid w:val="003A24F0"/>
    <w:rsid w:val="003A300E"/>
    <w:rsid w:val="003A3F38"/>
    <w:rsid w:val="003A4185"/>
    <w:rsid w:val="003A539F"/>
    <w:rsid w:val="003A6270"/>
    <w:rsid w:val="003A6AAE"/>
    <w:rsid w:val="003A7048"/>
    <w:rsid w:val="003A7DC0"/>
    <w:rsid w:val="003B0724"/>
    <w:rsid w:val="003B08D5"/>
    <w:rsid w:val="003B0AFF"/>
    <w:rsid w:val="003B12B5"/>
    <w:rsid w:val="003B1671"/>
    <w:rsid w:val="003B21D3"/>
    <w:rsid w:val="003B25D8"/>
    <w:rsid w:val="003B370F"/>
    <w:rsid w:val="003B4015"/>
    <w:rsid w:val="003B4D52"/>
    <w:rsid w:val="003B4F3D"/>
    <w:rsid w:val="003B6340"/>
    <w:rsid w:val="003B6A8B"/>
    <w:rsid w:val="003B77CC"/>
    <w:rsid w:val="003B7B1F"/>
    <w:rsid w:val="003C1789"/>
    <w:rsid w:val="003C1999"/>
    <w:rsid w:val="003C21E0"/>
    <w:rsid w:val="003C22E4"/>
    <w:rsid w:val="003C276A"/>
    <w:rsid w:val="003C2FA0"/>
    <w:rsid w:val="003C31AF"/>
    <w:rsid w:val="003C363F"/>
    <w:rsid w:val="003C3DC0"/>
    <w:rsid w:val="003C60BF"/>
    <w:rsid w:val="003C61AC"/>
    <w:rsid w:val="003C637A"/>
    <w:rsid w:val="003C73EB"/>
    <w:rsid w:val="003C781F"/>
    <w:rsid w:val="003C7834"/>
    <w:rsid w:val="003D035E"/>
    <w:rsid w:val="003D07B3"/>
    <w:rsid w:val="003D1478"/>
    <w:rsid w:val="003D2EBB"/>
    <w:rsid w:val="003D2F5B"/>
    <w:rsid w:val="003D37C6"/>
    <w:rsid w:val="003D4742"/>
    <w:rsid w:val="003D4A72"/>
    <w:rsid w:val="003D54E0"/>
    <w:rsid w:val="003D54F5"/>
    <w:rsid w:val="003D6BD4"/>
    <w:rsid w:val="003D72B6"/>
    <w:rsid w:val="003D72EE"/>
    <w:rsid w:val="003D76F5"/>
    <w:rsid w:val="003E0154"/>
    <w:rsid w:val="003E06D7"/>
    <w:rsid w:val="003E0A37"/>
    <w:rsid w:val="003E0C9A"/>
    <w:rsid w:val="003E1342"/>
    <w:rsid w:val="003E1A32"/>
    <w:rsid w:val="003E1AE9"/>
    <w:rsid w:val="003E213E"/>
    <w:rsid w:val="003E2B9A"/>
    <w:rsid w:val="003E311C"/>
    <w:rsid w:val="003E42DC"/>
    <w:rsid w:val="003E5B45"/>
    <w:rsid w:val="003E6739"/>
    <w:rsid w:val="003E7019"/>
    <w:rsid w:val="003E7543"/>
    <w:rsid w:val="003E79BD"/>
    <w:rsid w:val="003E7C65"/>
    <w:rsid w:val="003F0E78"/>
    <w:rsid w:val="003F1AF7"/>
    <w:rsid w:val="003F2E08"/>
    <w:rsid w:val="003F32E7"/>
    <w:rsid w:val="003F4401"/>
    <w:rsid w:val="003F4879"/>
    <w:rsid w:val="003F60E4"/>
    <w:rsid w:val="003F6A9B"/>
    <w:rsid w:val="003F6B6D"/>
    <w:rsid w:val="003F6D8E"/>
    <w:rsid w:val="003F7AA4"/>
    <w:rsid w:val="003F7C61"/>
    <w:rsid w:val="004007B3"/>
    <w:rsid w:val="00400CED"/>
    <w:rsid w:val="00400D36"/>
    <w:rsid w:val="00402539"/>
    <w:rsid w:val="0040350E"/>
    <w:rsid w:val="00404603"/>
    <w:rsid w:val="00405DB5"/>
    <w:rsid w:val="00406011"/>
    <w:rsid w:val="00406079"/>
    <w:rsid w:val="0040673F"/>
    <w:rsid w:val="00410604"/>
    <w:rsid w:val="00410F3E"/>
    <w:rsid w:val="00410FAF"/>
    <w:rsid w:val="00411C85"/>
    <w:rsid w:val="0041453E"/>
    <w:rsid w:val="0041582A"/>
    <w:rsid w:val="00415B8E"/>
    <w:rsid w:val="00416473"/>
    <w:rsid w:val="00420BCA"/>
    <w:rsid w:val="00420D12"/>
    <w:rsid w:val="0042134E"/>
    <w:rsid w:val="00421CF1"/>
    <w:rsid w:val="00421FAA"/>
    <w:rsid w:val="00422055"/>
    <w:rsid w:val="00422746"/>
    <w:rsid w:val="00423584"/>
    <w:rsid w:val="0042526E"/>
    <w:rsid w:val="00426E45"/>
    <w:rsid w:val="004271AC"/>
    <w:rsid w:val="004279B8"/>
    <w:rsid w:val="00427A92"/>
    <w:rsid w:val="00427BB5"/>
    <w:rsid w:val="004302A4"/>
    <w:rsid w:val="00431F74"/>
    <w:rsid w:val="00433291"/>
    <w:rsid w:val="00433E24"/>
    <w:rsid w:val="004342AE"/>
    <w:rsid w:val="00434781"/>
    <w:rsid w:val="00434C75"/>
    <w:rsid w:val="00435810"/>
    <w:rsid w:val="00435B6E"/>
    <w:rsid w:val="00440FB5"/>
    <w:rsid w:val="00441537"/>
    <w:rsid w:val="00441A81"/>
    <w:rsid w:val="00441C9C"/>
    <w:rsid w:val="00441D13"/>
    <w:rsid w:val="00442684"/>
    <w:rsid w:val="004427C5"/>
    <w:rsid w:val="0044299A"/>
    <w:rsid w:val="004435B3"/>
    <w:rsid w:val="00443976"/>
    <w:rsid w:val="00443E51"/>
    <w:rsid w:val="00444384"/>
    <w:rsid w:val="00444691"/>
    <w:rsid w:val="0044527A"/>
    <w:rsid w:val="0044537F"/>
    <w:rsid w:val="00446404"/>
    <w:rsid w:val="00447D3B"/>
    <w:rsid w:val="00447E8E"/>
    <w:rsid w:val="00451294"/>
    <w:rsid w:val="004517AB"/>
    <w:rsid w:val="00451F45"/>
    <w:rsid w:val="00452E54"/>
    <w:rsid w:val="004530DE"/>
    <w:rsid w:val="004531F4"/>
    <w:rsid w:val="00454265"/>
    <w:rsid w:val="004546C6"/>
    <w:rsid w:val="00454830"/>
    <w:rsid w:val="00454842"/>
    <w:rsid w:val="00454DB6"/>
    <w:rsid w:val="00455FED"/>
    <w:rsid w:val="0045664B"/>
    <w:rsid w:val="0045699D"/>
    <w:rsid w:val="00456AE5"/>
    <w:rsid w:val="0045767C"/>
    <w:rsid w:val="0046048E"/>
    <w:rsid w:val="00461718"/>
    <w:rsid w:val="0046206B"/>
    <w:rsid w:val="00462B9B"/>
    <w:rsid w:val="00465B99"/>
    <w:rsid w:val="00466392"/>
    <w:rsid w:val="0046696B"/>
    <w:rsid w:val="00466D1E"/>
    <w:rsid w:val="00466F16"/>
    <w:rsid w:val="004679ED"/>
    <w:rsid w:val="00467EE1"/>
    <w:rsid w:val="00467EF7"/>
    <w:rsid w:val="0047123A"/>
    <w:rsid w:val="0047138E"/>
    <w:rsid w:val="004714CF"/>
    <w:rsid w:val="00471690"/>
    <w:rsid w:val="00472138"/>
    <w:rsid w:val="004728F0"/>
    <w:rsid w:val="00472A8A"/>
    <w:rsid w:val="00472DAC"/>
    <w:rsid w:val="00473478"/>
    <w:rsid w:val="0047361C"/>
    <w:rsid w:val="004760D3"/>
    <w:rsid w:val="00476A82"/>
    <w:rsid w:val="00476D56"/>
    <w:rsid w:val="004780D8"/>
    <w:rsid w:val="00480C7B"/>
    <w:rsid w:val="00482911"/>
    <w:rsid w:val="00482D88"/>
    <w:rsid w:val="00483054"/>
    <w:rsid w:val="004836D1"/>
    <w:rsid w:val="004847CC"/>
    <w:rsid w:val="00486D91"/>
    <w:rsid w:val="004900EC"/>
    <w:rsid w:val="00490751"/>
    <w:rsid w:val="0049092A"/>
    <w:rsid w:val="00490CB3"/>
    <w:rsid w:val="00492371"/>
    <w:rsid w:val="00492D3D"/>
    <w:rsid w:val="004936AE"/>
    <w:rsid w:val="00493C11"/>
    <w:rsid w:val="00494E84"/>
    <w:rsid w:val="004955EE"/>
    <w:rsid w:val="00495DEC"/>
    <w:rsid w:val="004964B8"/>
    <w:rsid w:val="00496893"/>
    <w:rsid w:val="004971D8"/>
    <w:rsid w:val="00497BE9"/>
    <w:rsid w:val="004A07F7"/>
    <w:rsid w:val="004A14F9"/>
    <w:rsid w:val="004A15A0"/>
    <w:rsid w:val="004A1D11"/>
    <w:rsid w:val="004A1F6E"/>
    <w:rsid w:val="004A2B8E"/>
    <w:rsid w:val="004A2E41"/>
    <w:rsid w:val="004A41CE"/>
    <w:rsid w:val="004A438B"/>
    <w:rsid w:val="004A45B3"/>
    <w:rsid w:val="004A4F02"/>
    <w:rsid w:val="004A50B4"/>
    <w:rsid w:val="004A58AC"/>
    <w:rsid w:val="004A5E42"/>
    <w:rsid w:val="004A66AC"/>
    <w:rsid w:val="004A7016"/>
    <w:rsid w:val="004A727B"/>
    <w:rsid w:val="004A7B7D"/>
    <w:rsid w:val="004A7C83"/>
    <w:rsid w:val="004B0CA7"/>
    <w:rsid w:val="004B1516"/>
    <w:rsid w:val="004B1A70"/>
    <w:rsid w:val="004B2906"/>
    <w:rsid w:val="004B2CCA"/>
    <w:rsid w:val="004B30B7"/>
    <w:rsid w:val="004B3F62"/>
    <w:rsid w:val="004B3FB7"/>
    <w:rsid w:val="004B41D7"/>
    <w:rsid w:val="004B457F"/>
    <w:rsid w:val="004B4753"/>
    <w:rsid w:val="004B5C5C"/>
    <w:rsid w:val="004B5DDE"/>
    <w:rsid w:val="004B67F1"/>
    <w:rsid w:val="004B692A"/>
    <w:rsid w:val="004B6A17"/>
    <w:rsid w:val="004B71C1"/>
    <w:rsid w:val="004B7D1D"/>
    <w:rsid w:val="004B7F9A"/>
    <w:rsid w:val="004C041D"/>
    <w:rsid w:val="004C110E"/>
    <w:rsid w:val="004C23A2"/>
    <w:rsid w:val="004C23AE"/>
    <w:rsid w:val="004C3C6C"/>
    <w:rsid w:val="004C4022"/>
    <w:rsid w:val="004C41FD"/>
    <w:rsid w:val="004C48B9"/>
    <w:rsid w:val="004C5D52"/>
    <w:rsid w:val="004C7607"/>
    <w:rsid w:val="004D3411"/>
    <w:rsid w:val="004D44FE"/>
    <w:rsid w:val="004D4DAA"/>
    <w:rsid w:val="004D5F08"/>
    <w:rsid w:val="004D6819"/>
    <w:rsid w:val="004D74A7"/>
    <w:rsid w:val="004D7B85"/>
    <w:rsid w:val="004E1309"/>
    <w:rsid w:val="004E1D71"/>
    <w:rsid w:val="004E297A"/>
    <w:rsid w:val="004E300B"/>
    <w:rsid w:val="004E330F"/>
    <w:rsid w:val="004E3628"/>
    <w:rsid w:val="004E375C"/>
    <w:rsid w:val="004E39CD"/>
    <w:rsid w:val="004E3A64"/>
    <w:rsid w:val="004E3D7E"/>
    <w:rsid w:val="004E5038"/>
    <w:rsid w:val="004E5DFA"/>
    <w:rsid w:val="004E67CD"/>
    <w:rsid w:val="004E690D"/>
    <w:rsid w:val="004E69EE"/>
    <w:rsid w:val="004E7AA4"/>
    <w:rsid w:val="004E7DA4"/>
    <w:rsid w:val="004F02E8"/>
    <w:rsid w:val="004F127A"/>
    <w:rsid w:val="004F128D"/>
    <w:rsid w:val="004F1566"/>
    <w:rsid w:val="004F182A"/>
    <w:rsid w:val="004F4DAA"/>
    <w:rsid w:val="004F6472"/>
    <w:rsid w:val="004F656B"/>
    <w:rsid w:val="004F6A5A"/>
    <w:rsid w:val="004F6F6F"/>
    <w:rsid w:val="004F722F"/>
    <w:rsid w:val="004F7843"/>
    <w:rsid w:val="004F79C5"/>
    <w:rsid w:val="00500C81"/>
    <w:rsid w:val="0050169B"/>
    <w:rsid w:val="00501E71"/>
    <w:rsid w:val="00503E0A"/>
    <w:rsid w:val="00503F91"/>
    <w:rsid w:val="00504582"/>
    <w:rsid w:val="005046D6"/>
    <w:rsid w:val="00510105"/>
    <w:rsid w:val="00510156"/>
    <w:rsid w:val="0051162E"/>
    <w:rsid w:val="0051186A"/>
    <w:rsid w:val="005118E6"/>
    <w:rsid w:val="00511FAC"/>
    <w:rsid w:val="00512BE8"/>
    <w:rsid w:val="00513571"/>
    <w:rsid w:val="005137BF"/>
    <w:rsid w:val="00513C35"/>
    <w:rsid w:val="00513E92"/>
    <w:rsid w:val="0051448A"/>
    <w:rsid w:val="005148D7"/>
    <w:rsid w:val="00514C39"/>
    <w:rsid w:val="00515640"/>
    <w:rsid w:val="00516860"/>
    <w:rsid w:val="00516926"/>
    <w:rsid w:val="0051771B"/>
    <w:rsid w:val="005203FD"/>
    <w:rsid w:val="00522DD5"/>
    <w:rsid w:val="00523E35"/>
    <w:rsid w:val="00525182"/>
    <w:rsid w:val="00525556"/>
    <w:rsid w:val="00525F32"/>
    <w:rsid w:val="005267DB"/>
    <w:rsid w:val="00526A65"/>
    <w:rsid w:val="005270FD"/>
    <w:rsid w:val="00527899"/>
    <w:rsid w:val="00527E1B"/>
    <w:rsid w:val="005313E0"/>
    <w:rsid w:val="005319FA"/>
    <w:rsid w:val="00532D04"/>
    <w:rsid w:val="00533062"/>
    <w:rsid w:val="005335B8"/>
    <w:rsid w:val="005335C0"/>
    <w:rsid w:val="005339DC"/>
    <w:rsid w:val="00533AC1"/>
    <w:rsid w:val="00533DB5"/>
    <w:rsid w:val="0053525B"/>
    <w:rsid w:val="00535AFE"/>
    <w:rsid w:val="0053707D"/>
    <w:rsid w:val="0053742A"/>
    <w:rsid w:val="0053759C"/>
    <w:rsid w:val="00537A27"/>
    <w:rsid w:val="0054012C"/>
    <w:rsid w:val="0054295A"/>
    <w:rsid w:val="00543007"/>
    <w:rsid w:val="00543B8C"/>
    <w:rsid w:val="0054409F"/>
    <w:rsid w:val="005440C7"/>
    <w:rsid w:val="005446D4"/>
    <w:rsid w:val="00544748"/>
    <w:rsid w:val="00544846"/>
    <w:rsid w:val="00544AFE"/>
    <w:rsid w:val="005452C9"/>
    <w:rsid w:val="0054562A"/>
    <w:rsid w:val="00546B7F"/>
    <w:rsid w:val="00550A54"/>
    <w:rsid w:val="00551AE8"/>
    <w:rsid w:val="00552536"/>
    <w:rsid w:val="005527A5"/>
    <w:rsid w:val="00553128"/>
    <w:rsid w:val="00553EDE"/>
    <w:rsid w:val="0055439B"/>
    <w:rsid w:val="00556D51"/>
    <w:rsid w:val="00556F1B"/>
    <w:rsid w:val="00557282"/>
    <w:rsid w:val="005575B4"/>
    <w:rsid w:val="00557995"/>
    <w:rsid w:val="00560165"/>
    <w:rsid w:val="0056018A"/>
    <w:rsid w:val="00562546"/>
    <w:rsid w:val="00563258"/>
    <w:rsid w:val="00563BB2"/>
    <w:rsid w:val="00564325"/>
    <w:rsid w:val="00564979"/>
    <w:rsid w:val="00564984"/>
    <w:rsid w:val="00564F43"/>
    <w:rsid w:val="005650AD"/>
    <w:rsid w:val="005708B7"/>
    <w:rsid w:val="005715E3"/>
    <w:rsid w:val="005719AD"/>
    <w:rsid w:val="005720B9"/>
    <w:rsid w:val="0057211E"/>
    <w:rsid w:val="0057377D"/>
    <w:rsid w:val="0057387F"/>
    <w:rsid w:val="00573A88"/>
    <w:rsid w:val="005746AE"/>
    <w:rsid w:val="00574749"/>
    <w:rsid w:val="0057705A"/>
    <w:rsid w:val="00577362"/>
    <w:rsid w:val="00577527"/>
    <w:rsid w:val="0057766F"/>
    <w:rsid w:val="005811C3"/>
    <w:rsid w:val="0058211B"/>
    <w:rsid w:val="00582315"/>
    <w:rsid w:val="005848E1"/>
    <w:rsid w:val="00585293"/>
    <w:rsid w:val="0058534C"/>
    <w:rsid w:val="005855C1"/>
    <w:rsid w:val="00585940"/>
    <w:rsid w:val="005862A8"/>
    <w:rsid w:val="0058651E"/>
    <w:rsid w:val="0058690E"/>
    <w:rsid w:val="00586BE8"/>
    <w:rsid w:val="00586EA3"/>
    <w:rsid w:val="00587F15"/>
    <w:rsid w:val="00591B1B"/>
    <w:rsid w:val="00592589"/>
    <w:rsid w:val="00592E79"/>
    <w:rsid w:val="0059683A"/>
    <w:rsid w:val="00596AD1"/>
    <w:rsid w:val="00596AF1"/>
    <w:rsid w:val="00597622"/>
    <w:rsid w:val="00597B13"/>
    <w:rsid w:val="00597EED"/>
    <w:rsid w:val="005A0944"/>
    <w:rsid w:val="005A153C"/>
    <w:rsid w:val="005A18C6"/>
    <w:rsid w:val="005A1BA5"/>
    <w:rsid w:val="005A2FBF"/>
    <w:rsid w:val="005A332C"/>
    <w:rsid w:val="005A3813"/>
    <w:rsid w:val="005A47F2"/>
    <w:rsid w:val="005A50C9"/>
    <w:rsid w:val="005A56E6"/>
    <w:rsid w:val="005A5B53"/>
    <w:rsid w:val="005A5E31"/>
    <w:rsid w:val="005A7C1E"/>
    <w:rsid w:val="005B061E"/>
    <w:rsid w:val="005B2DAE"/>
    <w:rsid w:val="005B3655"/>
    <w:rsid w:val="005B3A14"/>
    <w:rsid w:val="005B4761"/>
    <w:rsid w:val="005B499D"/>
    <w:rsid w:val="005B4E21"/>
    <w:rsid w:val="005B668D"/>
    <w:rsid w:val="005B74EE"/>
    <w:rsid w:val="005B7714"/>
    <w:rsid w:val="005C03BD"/>
    <w:rsid w:val="005C0694"/>
    <w:rsid w:val="005C2A96"/>
    <w:rsid w:val="005C4F1F"/>
    <w:rsid w:val="005C6888"/>
    <w:rsid w:val="005C6A36"/>
    <w:rsid w:val="005D0320"/>
    <w:rsid w:val="005D07B7"/>
    <w:rsid w:val="005D0A11"/>
    <w:rsid w:val="005D1CF7"/>
    <w:rsid w:val="005D2BE2"/>
    <w:rsid w:val="005D2CED"/>
    <w:rsid w:val="005D2F21"/>
    <w:rsid w:val="005D3074"/>
    <w:rsid w:val="005D342F"/>
    <w:rsid w:val="005D3FF1"/>
    <w:rsid w:val="005D4478"/>
    <w:rsid w:val="005D44C0"/>
    <w:rsid w:val="005D4CD1"/>
    <w:rsid w:val="005D5543"/>
    <w:rsid w:val="005D5A1C"/>
    <w:rsid w:val="005D5A9D"/>
    <w:rsid w:val="005D5BB2"/>
    <w:rsid w:val="005E1A21"/>
    <w:rsid w:val="005E1E45"/>
    <w:rsid w:val="005E3029"/>
    <w:rsid w:val="005E387B"/>
    <w:rsid w:val="005E50A2"/>
    <w:rsid w:val="005E5951"/>
    <w:rsid w:val="005E5B10"/>
    <w:rsid w:val="005E698A"/>
    <w:rsid w:val="005F056C"/>
    <w:rsid w:val="005F1103"/>
    <w:rsid w:val="005F1296"/>
    <w:rsid w:val="005F161E"/>
    <w:rsid w:val="005F18AF"/>
    <w:rsid w:val="005F1CDC"/>
    <w:rsid w:val="005F4D63"/>
    <w:rsid w:val="005F5128"/>
    <w:rsid w:val="005F64F1"/>
    <w:rsid w:val="005F65A7"/>
    <w:rsid w:val="005F6B35"/>
    <w:rsid w:val="005F7CF4"/>
    <w:rsid w:val="006005EF"/>
    <w:rsid w:val="006005FA"/>
    <w:rsid w:val="006016B3"/>
    <w:rsid w:val="006022A4"/>
    <w:rsid w:val="00602AC1"/>
    <w:rsid w:val="006037F4"/>
    <w:rsid w:val="006038F4"/>
    <w:rsid w:val="00603921"/>
    <w:rsid w:val="00603BD5"/>
    <w:rsid w:val="00604C4D"/>
    <w:rsid w:val="00604CF0"/>
    <w:rsid w:val="0060526B"/>
    <w:rsid w:val="00605281"/>
    <w:rsid w:val="006054D7"/>
    <w:rsid w:val="006055C5"/>
    <w:rsid w:val="006067D6"/>
    <w:rsid w:val="00610102"/>
    <w:rsid w:val="00610FF0"/>
    <w:rsid w:val="006116E7"/>
    <w:rsid w:val="006117E5"/>
    <w:rsid w:val="006118A3"/>
    <w:rsid w:val="00615248"/>
    <w:rsid w:val="00616108"/>
    <w:rsid w:val="00616366"/>
    <w:rsid w:val="00617774"/>
    <w:rsid w:val="0062048C"/>
    <w:rsid w:val="00620FE6"/>
    <w:rsid w:val="00621BB8"/>
    <w:rsid w:val="00621C7D"/>
    <w:rsid w:val="00622116"/>
    <w:rsid w:val="00622303"/>
    <w:rsid w:val="00622789"/>
    <w:rsid w:val="00623C5D"/>
    <w:rsid w:val="00625308"/>
    <w:rsid w:val="00625C74"/>
    <w:rsid w:val="00626C39"/>
    <w:rsid w:val="00630560"/>
    <w:rsid w:val="0063083A"/>
    <w:rsid w:val="00630D2D"/>
    <w:rsid w:val="00631509"/>
    <w:rsid w:val="00631AE8"/>
    <w:rsid w:val="006327E2"/>
    <w:rsid w:val="00632A3E"/>
    <w:rsid w:val="00633DF2"/>
    <w:rsid w:val="006342BC"/>
    <w:rsid w:val="006352C0"/>
    <w:rsid w:val="00635DB4"/>
    <w:rsid w:val="00637755"/>
    <w:rsid w:val="00640CBB"/>
    <w:rsid w:val="00641295"/>
    <w:rsid w:val="00643182"/>
    <w:rsid w:val="00643F03"/>
    <w:rsid w:val="0064446B"/>
    <w:rsid w:val="006447FB"/>
    <w:rsid w:val="006461CF"/>
    <w:rsid w:val="006463D4"/>
    <w:rsid w:val="006466E3"/>
    <w:rsid w:val="00647241"/>
    <w:rsid w:val="00650570"/>
    <w:rsid w:val="00651127"/>
    <w:rsid w:val="00653138"/>
    <w:rsid w:val="006535E9"/>
    <w:rsid w:val="00653649"/>
    <w:rsid w:val="00653CB9"/>
    <w:rsid w:val="006545AB"/>
    <w:rsid w:val="00655216"/>
    <w:rsid w:val="00655759"/>
    <w:rsid w:val="0065642F"/>
    <w:rsid w:val="006572B0"/>
    <w:rsid w:val="00657827"/>
    <w:rsid w:val="006613FB"/>
    <w:rsid w:val="00661ADB"/>
    <w:rsid w:val="00662256"/>
    <w:rsid w:val="0066493B"/>
    <w:rsid w:val="00664CE6"/>
    <w:rsid w:val="006652D7"/>
    <w:rsid w:val="00665C7B"/>
    <w:rsid w:val="00666789"/>
    <w:rsid w:val="00671F7A"/>
    <w:rsid w:val="00672517"/>
    <w:rsid w:val="00672625"/>
    <w:rsid w:val="00672A70"/>
    <w:rsid w:val="00673192"/>
    <w:rsid w:val="0067453B"/>
    <w:rsid w:val="00674C2C"/>
    <w:rsid w:val="006752B7"/>
    <w:rsid w:val="00676A9B"/>
    <w:rsid w:val="00676B9B"/>
    <w:rsid w:val="00676D15"/>
    <w:rsid w:val="00676DDD"/>
    <w:rsid w:val="00676DF2"/>
    <w:rsid w:val="00677549"/>
    <w:rsid w:val="006775AA"/>
    <w:rsid w:val="006775C2"/>
    <w:rsid w:val="0067763D"/>
    <w:rsid w:val="00677F3F"/>
    <w:rsid w:val="006813E1"/>
    <w:rsid w:val="00683F95"/>
    <w:rsid w:val="006853B5"/>
    <w:rsid w:val="0068540D"/>
    <w:rsid w:val="0068741E"/>
    <w:rsid w:val="006914B5"/>
    <w:rsid w:val="0069289D"/>
    <w:rsid w:val="00693B13"/>
    <w:rsid w:val="00694622"/>
    <w:rsid w:val="00694D01"/>
    <w:rsid w:val="00695314"/>
    <w:rsid w:val="006966D0"/>
    <w:rsid w:val="00696772"/>
    <w:rsid w:val="006967C1"/>
    <w:rsid w:val="00696A06"/>
    <w:rsid w:val="00697395"/>
    <w:rsid w:val="0069796C"/>
    <w:rsid w:val="006A1E04"/>
    <w:rsid w:val="006A29E9"/>
    <w:rsid w:val="006A3434"/>
    <w:rsid w:val="006A3A17"/>
    <w:rsid w:val="006A4558"/>
    <w:rsid w:val="006A46ED"/>
    <w:rsid w:val="006A60F3"/>
    <w:rsid w:val="006A64D3"/>
    <w:rsid w:val="006A683C"/>
    <w:rsid w:val="006A6D88"/>
    <w:rsid w:val="006A6FF3"/>
    <w:rsid w:val="006A71D1"/>
    <w:rsid w:val="006A7E6B"/>
    <w:rsid w:val="006B162C"/>
    <w:rsid w:val="006B6536"/>
    <w:rsid w:val="006B6662"/>
    <w:rsid w:val="006B6CBE"/>
    <w:rsid w:val="006C14E2"/>
    <w:rsid w:val="006C1687"/>
    <w:rsid w:val="006C2093"/>
    <w:rsid w:val="006C20C8"/>
    <w:rsid w:val="006C2C16"/>
    <w:rsid w:val="006C2C58"/>
    <w:rsid w:val="006C2D90"/>
    <w:rsid w:val="006C2E29"/>
    <w:rsid w:val="006C3A37"/>
    <w:rsid w:val="006C3D70"/>
    <w:rsid w:val="006C3FE3"/>
    <w:rsid w:val="006C4397"/>
    <w:rsid w:val="006C6248"/>
    <w:rsid w:val="006C6C65"/>
    <w:rsid w:val="006C7939"/>
    <w:rsid w:val="006D082B"/>
    <w:rsid w:val="006D0E5C"/>
    <w:rsid w:val="006D0FD1"/>
    <w:rsid w:val="006D1AAE"/>
    <w:rsid w:val="006D1AB5"/>
    <w:rsid w:val="006D23C1"/>
    <w:rsid w:val="006D268B"/>
    <w:rsid w:val="006D26BF"/>
    <w:rsid w:val="006D47EB"/>
    <w:rsid w:val="006D5299"/>
    <w:rsid w:val="006D5C47"/>
    <w:rsid w:val="006D5FA8"/>
    <w:rsid w:val="006D6817"/>
    <w:rsid w:val="006D6BBE"/>
    <w:rsid w:val="006D6C2A"/>
    <w:rsid w:val="006D6EB6"/>
    <w:rsid w:val="006D7C7C"/>
    <w:rsid w:val="006E1218"/>
    <w:rsid w:val="006E14DE"/>
    <w:rsid w:val="006E1728"/>
    <w:rsid w:val="006E1982"/>
    <w:rsid w:val="006E3635"/>
    <w:rsid w:val="006E3AF1"/>
    <w:rsid w:val="006E4051"/>
    <w:rsid w:val="006E45B0"/>
    <w:rsid w:val="006E5986"/>
    <w:rsid w:val="006E6044"/>
    <w:rsid w:val="006E662B"/>
    <w:rsid w:val="006E74AB"/>
    <w:rsid w:val="006E768D"/>
    <w:rsid w:val="006E7805"/>
    <w:rsid w:val="006F0759"/>
    <w:rsid w:val="006F1075"/>
    <w:rsid w:val="006F147D"/>
    <w:rsid w:val="006F15C7"/>
    <w:rsid w:val="006F1DD8"/>
    <w:rsid w:val="006F20D2"/>
    <w:rsid w:val="006F28E8"/>
    <w:rsid w:val="006F43DF"/>
    <w:rsid w:val="006F4864"/>
    <w:rsid w:val="006F4AA3"/>
    <w:rsid w:val="006F4BEE"/>
    <w:rsid w:val="006F564F"/>
    <w:rsid w:val="006F585B"/>
    <w:rsid w:val="006F5B51"/>
    <w:rsid w:val="006F676C"/>
    <w:rsid w:val="006F7E0D"/>
    <w:rsid w:val="00700637"/>
    <w:rsid w:val="00700D4D"/>
    <w:rsid w:val="00700E53"/>
    <w:rsid w:val="0070134B"/>
    <w:rsid w:val="00701B77"/>
    <w:rsid w:val="00701D1A"/>
    <w:rsid w:val="00702336"/>
    <w:rsid w:val="0070247D"/>
    <w:rsid w:val="00702A3D"/>
    <w:rsid w:val="0070312C"/>
    <w:rsid w:val="00704A9F"/>
    <w:rsid w:val="007056EE"/>
    <w:rsid w:val="00705838"/>
    <w:rsid w:val="00706032"/>
    <w:rsid w:val="007068DB"/>
    <w:rsid w:val="00706C5F"/>
    <w:rsid w:val="00706D27"/>
    <w:rsid w:val="00710B3F"/>
    <w:rsid w:val="0071197D"/>
    <w:rsid w:val="00711B64"/>
    <w:rsid w:val="00713310"/>
    <w:rsid w:val="007133B1"/>
    <w:rsid w:val="00713FA4"/>
    <w:rsid w:val="0071421D"/>
    <w:rsid w:val="00714240"/>
    <w:rsid w:val="00714582"/>
    <w:rsid w:val="00714AF0"/>
    <w:rsid w:val="00714FE7"/>
    <w:rsid w:val="0071556C"/>
    <w:rsid w:val="00715E0B"/>
    <w:rsid w:val="007177FF"/>
    <w:rsid w:val="00717EB1"/>
    <w:rsid w:val="007225AB"/>
    <w:rsid w:val="00723430"/>
    <w:rsid w:val="00723FE5"/>
    <w:rsid w:val="00724B8A"/>
    <w:rsid w:val="00725CFB"/>
    <w:rsid w:val="00730089"/>
    <w:rsid w:val="00730690"/>
    <w:rsid w:val="00731B91"/>
    <w:rsid w:val="007343C6"/>
    <w:rsid w:val="007348F7"/>
    <w:rsid w:val="00734BB3"/>
    <w:rsid w:val="00734ED4"/>
    <w:rsid w:val="00735984"/>
    <w:rsid w:val="00735EFE"/>
    <w:rsid w:val="00736C48"/>
    <w:rsid w:val="00737227"/>
    <w:rsid w:val="007379E9"/>
    <w:rsid w:val="0074059E"/>
    <w:rsid w:val="0074077E"/>
    <w:rsid w:val="007409EB"/>
    <w:rsid w:val="00741007"/>
    <w:rsid w:val="00743637"/>
    <w:rsid w:val="00743CA3"/>
    <w:rsid w:val="00743E71"/>
    <w:rsid w:val="00744DF5"/>
    <w:rsid w:val="00744F5A"/>
    <w:rsid w:val="00745974"/>
    <w:rsid w:val="00745FD6"/>
    <w:rsid w:val="0074662F"/>
    <w:rsid w:val="00746EA9"/>
    <w:rsid w:val="00746FDA"/>
    <w:rsid w:val="00747487"/>
    <w:rsid w:val="007474A4"/>
    <w:rsid w:val="00752576"/>
    <w:rsid w:val="007525BF"/>
    <w:rsid w:val="0075334E"/>
    <w:rsid w:val="0075368F"/>
    <w:rsid w:val="00754782"/>
    <w:rsid w:val="007557AB"/>
    <w:rsid w:val="007573F0"/>
    <w:rsid w:val="00757732"/>
    <w:rsid w:val="0076023B"/>
    <w:rsid w:val="00760D42"/>
    <w:rsid w:val="00761D7F"/>
    <w:rsid w:val="00762A51"/>
    <w:rsid w:val="00762E81"/>
    <w:rsid w:val="007632F1"/>
    <w:rsid w:val="00764147"/>
    <w:rsid w:val="00764DE3"/>
    <w:rsid w:val="00765335"/>
    <w:rsid w:val="00766B63"/>
    <w:rsid w:val="00766C98"/>
    <w:rsid w:val="0076736C"/>
    <w:rsid w:val="00767D90"/>
    <w:rsid w:val="00770709"/>
    <w:rsid w:val="00770747"/>
    <w:rsid w:val="00771757"/>
    <w:rsid w:val="00773DE5"/>
    <w:rsid w:val="007748F8"/>
    <w:rsid w:val="00775613"/>
    <w:rsid w:val="00775C64"/>
    <w:rsid w:val="007760E0"/>
    <w:rsid w:val="007771F2"/>
    <w:rsid w:val="00777599"/>
    <w:rsid w:val="0078023C"/>
    <w:rsid w:val="00784708"/>
    <w:rsid w:val="0078492C"/>
    <w:rsid w:val="0078576E"/>
    <w:rsid w:val="00785BF2"/>
    <w:rsid w:val="0078647E"/>
    <w:rsid w:val="007867AB"/>
    <w:rsid w:val="0079135F"/>
    <w:rsid w:val="00791D7E"/>
    <w:rsid w:val="00791DFC"/>
    <w:rsid w:val="00791EF8"/>
    <w:rsid w:val="00792122"/>
    <w:rsid w:val="007922B2"/>
    <w:rsid w:val="0079273C"/>
    <w:rsid w:val="0079285E"/>
    <w:rsid w:val="00792DAF"/>
    <w:rsid w:val="0079352B"/>
    <w:rsid w:val="007939D0"/>
    <w:rsid w:val="00794F72"/>
    <w:rsid w:val="00794FE4"/>
    <w:rsid w:val="00795939"/>
    <w:rsid w:val="00796BB0"/>
    <w:rsid w:val="00796BC6"/>
    <w:rsid w:val="00796E2A"/>
    <w:rsid w:val="00796FE1"/>
    <w:rsid w:val="00797E86"/>
    <w:rsid w:val="007A1ACC"/>
    <w:rsid w:val="007A21D2"/>
    <w:rsid w:val="007A2575"/>
    <w:rsid w:val="007A257E"/>
    <w:rsid w:val="007A2A8F"/>
    <w:rsid w:val="007A4331"/>
    <w:rsid w:val="007A5286"/>
    <w:rsid w:val="007A5964"/>
    <w:rsid w:val="007A5EA4"/>
    <w:rsid w:val="007A6850"/>
    <w:rsid w:val="007A697D"/>
    <w:rsid w:val="007A6D59"/>
    <w:rsid w:val="007B0A0C"/>
    <w:rsid w:val="007B0E27"/>
    <w:rsid w:val="007B0F58"/>
    <w:rsid w:val="007B10E9"/>
    <w:rsid w:val="007B12C1"/>
    <w:rsid w:val="007B1A50"/>
    <w:rsid w:val="007B1C40"/>
    <w:rsid w:val="007B3454"/>
    <w:rsid w:val="007B3524"/>
    <w:rsid w:val="007B3EE4"/>
    <w:rsid w:val="007B4350"/>
    <w:rsid w:val="007B5470"/>
    <w:rsid w:val="007B6094"/>
    <w:rsid w:val="007B69C6"/>
    <w:rsid w:val="007C05EC"/>
    <w:rsid w:val="007C155C"/>
    <w:rsid w:val="007C1DB1"/>
    <w:rsid w:val="007C24C6"/>
    <w:rsid w:val="007C26BD"/>
    <w:rsid w:val="007C469B"/>
    <w:rsid w:val="007C6350"/>
    <w:rsid w:val="007C66BD"/>
    <w:rsid w:val="007C6F30"/>
    <w:rsid w:val="007C7D74"/>
    <w:rsid w:val="007D002C"/>
    <w:rsid w:val="007D02D2"/>
    <w:rsid w:val="007D1AF6"/>
    <w:rsid w:val="007D21B8"/>
    <w:rsid w:val="007D234F"/>
    <w:rsid w:val="007D2B1D"/>
    <w:rsid w:val="007D37B2"/>
    <w:rsid w:val="007D40D3"/>
    <w:rsid w:val="007D51DA"/>
    <w:rsid w:val="007E0069"/>
    <w:rsid w:val="007E1621"/>
    <w:rsid w:val="007E163E"/>
    <w:rsid w:val="007E16B3"/>
    <w:rsid w:val="007E2915"/>
    <w:rsid w:val="007E2DEB"/>
    <w:rsid w:val="007E3976"/>
    <w:rsid w:val="007E4011"/>
    <w:rsid w:val="007E4592"/>
    <w:rsid w:val="007E46D4"/>
    <w:rsid w:val="007E4AB6"/>
    <w:rsid w:val="007E54E3"/>
    <w:rsid w:val="007E57B5"/>
    <w:rsid w:val="007E612B"/>
    <w:rsid w:val="007E726F"/>
    <w:rsid w:val="007E7BC2"/>
    <w:rsid w:val="007E7F96"/>
    <w:rsid w:val="007F03B8"/>
    <w:rsid w:val="007F15E8"/>
    <w:rsid w:val="007F1D2F"/>
    <w:rsid w:val="007F1D6F"/>
    <w:rsid w:val="007F25B9"/>
    <w:rsid w:val="007F2D34"/>
    <w:rsid w:val="007F3037"/>
    <w:rsid w:val="007F3910"/>
    <w:rsid w:val="007F4EF9"/>
    <w:rsid w:val="007F6032"/>
    <w:rsid w:val="007F65A0"/>
    <w:rsid w:val="007F7BD6"/>
    <w:rsid w:val="008015FD"/>
    <w:rsid w:val="008021F7"/>
    <w:rsid w:val="00802FFC"/>
    <w:rsid w:val="00804469"/>
    <w:rsid w:val="008051AE"/>
    <w:rsid w:val="00805F13"/>
    <w:rsid w:val="008069C2"/>
    <w:rsid w:val="008071FB"/>
    <w:rsid w:val="00807BE4"/>
    <w:rsid w:val="0081001B"/>
    <w:rsid w:val="008111C0"/>
    <w:rsid w:val="0081322C"/>
    <w:rsid w:val="00814FA9"/>
    <w:rsid w:val="00816CD6"/>
    <w:rsid w:val="00816F1D"/>
    <w:rsid w:val="00817124"/>
    <w:rsid w:val="0081725E"/>
    <w:rsid w:val="00817F8B"/>
    <w:rsid w:val="00820C5A"/>
    <w:rsid w:val="00820CD1"/>
    <w:rsid w:val="00820DD8"/>
    <w:rsid w:val="00821455"/>
    <w:rsid w:val="0082240A"/>
    <w:rsid w:val="0082246A"/>
    <w:rsid w:val="008239A7"/>
    <w:rsid w:val="008239D9"/>
    <w:rsid w:val="008240FA"/>
    <w:rsid w:val="00824370"/>
    <w:rsid w:val="00825A39"/>
    <w:rsid w:val="00825F87"/>
    <w:rsid w:val="00826120"/>
    <w:rsid w:val="00826417"/>
    <w:rsid w:val="00826594"/>
    <w:rsid w:val="008266D0"/>
    <w:rsid w:val="00830602"/>
    <w:rsid w:val="008307F8"/>
    <w:rsid w:val="00830D77"/>
    <w:rsid w:val="008316AF"/>
    <w:rsid w:val="00831861"/>
    <w:rsid w:val="00831D4B"/>
    <w:rsid w:val="0083298A"/>
    <w:rsid w:val="008333CD"/>
    <w:rsid w:val="00833926"/>
    <w:rsid w:val="00833EE9"/>
    <w:rsid w:val="00834871"/>
    <w:rsid w:val="00837C34"/>
    <w:rsid w:val="00837C61"/>
    <w:rsid w:val="00840244"/>
    <w:rsid w:val="00840506"/>
    <w:rsid w:val="00843600"/>
    <w:rsid w:val="008436F1"/>
    <w:rsid w:val="00844066"/>
    <w:rsid w:val="008444E5"/>
    <w:rsid w:val="00845C24"/>
    <w:rsid w:val="0084622E"/>
    <w:rsid w:val="00846C08"/>
    <w:rsid w:val="00847716"/>
    <w:rsid w:val="00850A6F"/>
    <w:rsid w:val="00850D10"/>
    <w:rsid w:val="00851037"/>
    <w:rsid w:val="008513DD"/>
    <w:rsid w:val="00851C60"/>
    <w:rsid w:val="008549A8"/>
    <w:rsid w:val="00855386"/>
    <w:rsid w:val="00855AC7"/>
    <w:rsid w:val="00857FF4"/>
    <w:rsid w:val="00860072"/>
    <w:rsid w:val="0086074C"/>
    <w:rsid w:val="00861B89"/>
    <w:rsid w:val="00862621"/>
    <w:rsid w:val="00863F6B"/>
    <w:rsid w:val="00864123"/>
    <w:rsid w:val="00865544"/>
    <w:rsid w:val="00866F71"/>
    <w:rsid w:val="00867A96"/>
    <w:rsid w:val="00871061"/>
    <w:rsid w:val="00871426"/>
    <w:rsid w:val="00871C09"/>
    <w:rsid w:val="00871F36"/>
    <w:rsid w:val="00871F52"/>
    <w:rsid w:val="0087228F"/>
    <w:rsid w:val="008725FB"/>
    <w:rsid w:val="00872EF9"/>
    <w:rsid w:val="0087312D"/>
    <w:rsid w:val="00873D24"/>
    <w:rsid w:val="00874103"/>
    <w:rsid w:val="008752B5"/>
    <w:rsid w:val="008759B9"/>
    <w:rsid w:val="008766B8"/>
    <w:rsid w:val="00876BE9"/>
    <w:rsid w:val="0087712A"/>
    <w:rsid w:val="008807A4"/>
    <w:rsid w:val="00880873"/>
    <w:rsid w:val="00880D54"/>
    <w:rsid w:val="00881A99"/>
    <w:rsid w:val="00881FCA"/>
    <w:rsid w:val="0088231C"/>
    <w:rsid w:val="008824DC"/>
    <w:rsid w:val="00882F2D"/>
    <w:rsid w:val="0088371E"/>
    <w:rsid w:val="008838FA"/>
    <w:rsid w:val="00883B79"/>
    <w:rsid w:val="00884725"/>
    <w:rsid w:val="008860B2"/>
    <w:rsid w:val="00886451"/>
    <w:rsid w:val="00886626"/>
    <w:rsid w:val="00887C16"/>
    <w:rsid w:val="00887CEB"/>
    <w:rsid w:val="00887D17"/>
    <w:rsid w:val="0089015A"/>
    <w:rsid w:val="0089022D"/>
    <w:rsid w:val="008925F5"/>
    <w:rsid w:val="00893014"/>
    <w:rsid w:val="00894344"/>
    <w:rsid w:val="00896A33"/>
    <w:rsid w:val="00896D59"/>
    <w:rsid w:val="00897B7F"/>
    <w:rsid w:val="008A091D"/>
    <w:rsid w:val="008A39CA"/>
    <w:rsid w:val="008A3A6D"/>
    <w:rsid w:val="008A3EA0"/>
    <w:rsid w:val="008A44FC"/>
    <w:rsid w:val="008A4749"/>
    <w:rsid w:val="008A4D10"/>
    <w:rsid w:val="008A529D"/>
    <w:rsid w:val="008A5746"/>
    <w:rsid w:val="008A5B1D"/>
    <w:rsid w:val="008A5F98"/>
    <w:rsid w:val="008A69CB"/>
    <w:rsid w:val="008A7877"/>
    <w:rsid w:val="008A791C"/>
    <w:rsid w:val="008A7C42"/>
    <w:rsid w:val="008B0D86"/>
    <w:rsid w:val="008B165B"/>
    <w:rsid w:val="008B1B3E"/>
    <w:rsid w:val="008B23D9"/>
    <w:rsid w:val="008B24B6"/>
    <w:rsid w:val="008B27FA"/>
    <w:rsid w:val="008B3A5C"/>
    <w:rsid w:val="008B3A63"/>
    <w:rsid w:val="008B4150"/>
    <w:rsid w:val="008B4346"/>
    <w:rsid w:val="008C02D6"/>
    <w:rsid w:val="008C2021"/>
    <w:rsid w:val="008C275C"/>
    <w:rsid w:val="008C2B36"/>
    <w:rsid w:val="008C3441"/>
    <w:rsid w:val="008C4DEF"/>
    <w:rsid w:val="008C5F35"/>
    <w:rsid w:val="008C7E9B"/>
    <w:rsid w:val="008D059A"/>
    <w:rsid w:val="008D07E0"/>
    <w:rsid w:val="008D176C"/>
    <w:rsid w:val="008D1B92"/>
    <w:rsid w:val="008D2C16"/>
    <w:rsid w:val="008D4DC0"/>
    <w:rsid w:val="008D4E0F"/>
    <w:rsid w:val="008D565B"/>
    <w:rsid w:val="008D5F13"/>
    <w:rsid w:val="008D63A5"/>
    <w:rsid w:val="008D6A98"/>
    <w:rsid w:val="008D6F84"/>
    <w:rsid w:val="008D6FE7"/>
    <w:rsid w:val="008D7137"/>
    <w:rsid w:val="008D773A"/>
    <w:rsid w:val="008D7E64"/>
    <w:rsid w:val="008E0009"/>
    <w:rsid w:val="008E1ECD"/>
    <w:rsid w:val="008E26F5"/>
    <w:rsid w:val="008E35BB"/>
    <w:rsid w:val="008E3816"/>
    <w:rsid w:val="008E3D4A"/>
    <w:rsid w:val="008E4F74"/>
    <w:rsid w:val="008E54A6"/>
    <w:rsid w:val="008E5A7A"/>
    <w:rsid w:val="008F0A16"/>
    <w:rsid w:val="008F0A17"/>
    <w:rsid w:val="008F208B"/>
    <w:rsid w:val="008F21A0"/>
    <w:rsid w:val="008F3355"/>
    <w:rsid w:val="008F37E2"/>
    <w:rsid w:val="008F3C51"/>
    <w:rsid w:val="008F3C8A"/>
    <w:rsid w:val="008F4C00"/>
    <w:rsid w:val="008F5283"/>
    <w:rsid w:val="008F7DAA"/>
    <w:rsid w:val="00901CE9"/>
    <w:rsid w:val="00901E12"/>
    <w:rsid w:val="0090202A"/>
    <w:rsid w:val="00902270"/>
    <w:rsid w:val="009025B9"/>
    <w:rsid w:val="00903110"/>
    <w:rsid w:val="009038B3"/>
    <w:rsid w:val="009039D5"/>
    <w:rsid w:val="00903F38"/>
    <w:rsid w:val="00903F9C"/>
    <w:rsid w:val="00904D9F"/>
    <w:rsid w:val="00905443"/>
    <w:rsid w:val="00905E9B"/>
    <w:rsid w:val="0090670B"/>
    <w:rsid w:val="00906CEB"/>
    <w:rsid w:val="009072D3"/>
    <w:rsid w:val="00907549"/>
    <w:rsid w:val="009114D0"/>
    <w:rsid w:val="00911653"/>
    <w:rsid w:val="00911841"/>
    <w:rsid w:val="00911D92"/>
    <w:rsid w:val="00911ECC"/>
    <w:rsid w:val="00912DA7"/>
    <w:rsid w:val="00912F0D"/>
    <w:rsid w:val="009138A5"/>
    <w:rsid w:val="00914B65"/>
    <w:rsid w:val="00915249"/>
    <w:rsid w:val="009157D8"/>
    <w:rsid w:val="009158AA"/>
    <w:rsid w:val="00915A23"/>
    <w:rsid w:val="009161E1"/>
    <w:rsid w:val="00916661"/>
    <w:rsid w:val="00916CA5"/>
    <w:rsid w:val="0091726A"/>
    <w:rsid w:val="009175FA"/>
    <w:rsid w:val="0092071B"/>
    <w:rsid w:val="009212C1"/>
    <w:rsid w:val="00921D17"/>
    <w:rsid w:val="00922233"/>
    <w:rsid w:val="009236EF"/>
    <w:rsid w:val="00923F4A"/>
    <w:rsid w:val="00924B56"/>
    <w:rsid w:val="00925107"/>
    <w:rsid w:val="0092567F"/>
    <w:rsid w:val="00925D8B"/>
    <w:rsid w:val="009265C0"/>
    <w:rsid w:val="00927558"/>
    <w:rsid w:val="00930F89"/>
    <w:rsid w:val="00931965"/>
    <w:rsid w:val="00931CE4"/>
    <w:rsid w:val="00931D29"/>
    <w:rsid w:val="00932FC4"/>
    <w:rsid w:val="00933068"/>
    <w:rsid w:val="00934A5C"/>
    <w:rsid w:val="00934DBE"/>
    <w:rsid w:val="0093501B"/>
    <w:rsid w:val="009352EF"/>
    <w:rsid w:val="009362C7"/>
    <w:rsid w:val="00936700"/>
    <w:rsid w:val="00936781"/>
    <w:rsid w:val="009367C0"/>
    <w:rsid w:val="00936F89"/>
    <w:rsid w:val="00936F96"/>
    <w:rsid w:val="00937083"/>
    <w:rsid w:val="00940557"/>
    <w:rsid w:val="00940FB4"/>
    <w:rsid w:val="0094182C"/>
    <w:rsid w:val="00941DB2"/>
    <w:rsid w:val="00942604"/>
    <w:rsid w:val="0094336C"/>
    <w:rsid w:val="009433B2"/>
    <w:rsid w:val="0094358F"/>
    <w:rsid w:val="0094405B"/>
    <w:rsid w:val="00944436"/>
    <w:rsid w:val="00944636"/>
    <w:rsid w:val="00944AF3"/>
    <w:rsid w:val="009450BB"/>
    <w:rsid w:val="00945F22"/>
    <w:rsid w:val="00946F1D"/>
    <w:rsid w:val="00947148"/>
    <w:rsid w:val="00947485"/>
    <w:rsid w:val="00950109"/>
    <w:rsid w:val="00950256"/>
    <w:rsid w:val="0095083F"/>
    <w:rsid w:val="009511A4"/>
    <w:rsid w:val="0095126A"/>
    <w:rsid w:val="00954071"/>
    <w:rsid w:val="00954172"/>
    <w:rsid w:val="00954AA2"/>
    <w:rsid w:val="00954D74"/>
    <w:rsid w:val="0095708C"/>
    <w:rsid w:val="009575FA"/>
    <w:rsid w:val="00957CF8"/>
    <w:rsid w:val="009617A4"/>
    <w:rsid w:val="00961BC7"/>
    <w:rsid w:val="00961D5C"/>
    <w:rsid w:val="009620CF"/>
    <w:rsid w:val="00962D2E"/>
    <w:rsid w:val="00963E61"/>
    <w:rsid w:val="00963FF5"/>
    <w:rsid w:val="009650B1"/>
    <w:rsid w:val="0096536C"/>
    <w:rsid w:val="00965569"/>
    <w:rsid w:val="00965CAC"/>
    <w:rsid w:val="009672AA"/>
    <w:rsid w:val="009674E8"/>
    <w:rsid w:val="00967C03"/>
    <w:rsid w:val="0097135A"/>
    <w:rsid w:val="00972F0C"/>
    <w:rsid w:val="00973C5F"/>
    <w:rsid w:val="00974193"/>
    <w:rsid w:val="009750B9"/>
    <w:rsid w:val="0097551C"/>
    <w:rsid w:val="00976FFB"/>
    <w:rsid w:val="00980A30"/>
    <w:rsid w:val="00981E71"/>
    <w:rsid w:val="00983A85"/>
    <w:rsid w:val="00983B71"/>
    <w:rsid w:val="009847F5"/>
    <w:rsid w:val="009850D3"/>
    <w:rsid w:val="00986123"/>
    <w:rsid w:val="00986406"/>
    <w:rsid w:val="00986EBF"/>
    <w:rsid w:val="00987222"/>
    <w:rsid w:val="009877AD"/>
    <w:rsid w:val="009878CC"/>
    <w:rsid w:val="0098793F"/>
    <w:rsid w:val="00991EC3"/>
    <w:rsid w:val="009920EC"/>
    <w:rsid w:val="0099307B"/>
    <w:rsid w:val="00993746"/>
    <w:rsid w:val="0099570C"/>
    <w:rsid w:val="00995F82"/>
    <w:rsid w:val="009965CF"/>
    <w:rsid w:val="009975DD"/>
    <w:rsid w:val="009975E8"/>
    <w:rsid w:val="00997C1B"/>
    <w:rsid w:val="009A020D"/>
    <w:rsid w:val="009A1050"/>
    <w:rsid w:val="009A1964"/>
    <w:rsid w:val="009A1A31"/>
    <w:rsid w:val="009A367E"/>
    <w:rsid w:val="009A5649"/>
    <w:rsid w:val="009A5E9B"/>
    <w:rsid w:val="009A61DD"/>
    <w:rsid w:val="009A660A"/>
    <w:rsid w:val="009A6A22"/>
    <w:rsid w:val="009A6D26"/>
    <w:rsid w:val="009A6E4A"/>
    <w:rsid w:val="009A7239"/>
    <w:rsid w:val="009A73A2"/>
    <w:rsid w:val="009B0508"/>
    <w:rsid w:val="009B0BFF"/>
    <w:rsid w:val="009B0CA2"/>
    <w:rsid w:val="009B1740"/>
    <w:rsid w:val="009B3BC0"/>
    <w:rsid w:val="009B3CC6"/>
    <w:rsid w:val="009B529F"/>
    <w:rsid w:val="009B5A9C"/>
    <w:rsid w:val="009B6A8A"/>
    <w:rsid w:val="009B70A9"/>
    <w:rsid w:val="009B75A0"/>
    <w:rsid w:val="009B7D94"/>
    <w:rsid w:val="009C27B9"/>
    <w:rsid w:val="009C2897"/>
    <w:rsid w:val="009C3E1D"/>
    <w:rsid w:val="009C452A"/>
    <w:rsid w:val="009C4A52"/>
    <w:rsid w:val="009C57CA"/>
    <w:rsid w:val="009C62E2"/>
    <w:rsid w:val="009C632F"/>
    <w:rsid w:val="009C76C9"/>
    <w:rsid w:val="009D008A"/>
    <w:rsid w:val="009D088A"/>
    <w:rsid w:val="009D15EA"/>
    <w:rsid w:val="009D1F43"/>
    <w:rsid w:val="009D2F1B"/>
    <w:rsid w:val="009D32C4"/>
    <w:rsid w:val="009D3D48"/>
    <w:rsid w:val="009D4FF4"/>
    <w:rsid w:val="009D5B9A"/>
    <w:rsid w:val="009E1025"/>
    <w:rsid w:val="009E1DC8"/>
    <w:rsid w:val="009E2AAE"/>
    <w:rsid w:val="009E2CFB"/>
    <w:rsid w:val="009E3649"/>
    <w:rsid w:val="009E3FED"/>
    <w:rsid w:val="009E5AF8"/>
    <w:rsid w:val="009E6278"/>
    <w:rsid w:val="009E62DB"/>
    <w:rsid w:val="009E65A2"/>
    <w:rsid w:val="009E6CFA"/>
    <w:rsid w:val="009E7477"/>
    <w:rsid w:val="009F035A"/>
    <w:rsid w:val="009F141A"/>
    <w:rsid w:val="009F1FC1"/>
    <w:rsid w:val="009F4393"/>
    <w:rsid w:val="009F70CA"/>
    <w:rsid w:val="009F7428"/>
    <w:rsid w:val="009F7E43"/>
    <w:rsid w:val="00A00D7C"/>
    <w:rsid w:val="00A02EAC"/>
    <w:rsid w:val="00A02F02"/>
    <w:rsid w:val="00A03F7C"/>
    <w:rsid w:val="00A04D4D"/>
    <w:rsid w:val="00A05523"/>
    <w:rsid w:val="00A06E41"/>
    <w:rsid w:val="00A07992"/>
    <w:rsid w:val="00A07D3A"/>
    <w:rsid w:val="00A1046A"/>
    <w:rsid w:val="00A12AC7"/>
    <w:rsid w:val="00A15836"/>
    <w:rsid w:val="00A15A81"/>
    <w:rsid w:val="00A15CA3"/>
    <w:rsid w:val="00A1775E"/>
    <w:rsid w:val="00A17874"/>
    <w:rsid w:val="00A205E6"/>
    <w:rsid w:val="00A206D4"/>
    <w:rsid w:val="00A20833"/>
    <w:rsid w:val="00A20E0E"/>
    <w:rsid w:val="00A214D2"/>
    <w:rsid w:val="00A2369B"/>
    <w:rsid w:val="00A242A6"/>
    <w:rsid w:val="00A24652"/>
    <w:rsid w:val="00A250E3"/>
    <w:rsid w:val="00A259C7"/>
    <w:rsid w:val="00A25A3D"/>
    <w:rsid w:val="00A274D8"/>
    <w:rsid w:val="00A27C48"/>
    <w:rsid w:val="00A302B7"/>
    <w:rsid w:val="00A3183B"/>
    <w:rsid w:val="00A337D0"/>
    <w:rsid w:val="00A33AC7"/>
    <w:rsid w:val="00A342F8"/>
    <w:rsid w:val="00A347C6"/>
    <w:rsid w:val="00A34B93"/>
    <w:rsid w:val="00A34E25"/>
    <w:rsid w:val="00A354C2"/>
    <w:rsid w:val="00A35951"/>
    <w:rsid w:val="00A35A69"/>
    <w:rsid w:val="00A370DF"/>
    <w:rsid w:val="00A3721A"/>
    <w:rsid w:val="00A37724"/>
    <w:rsid w:val="00A3EF05"/>
    <w:rsid w:val="00A40DAF"/>
    <w:rsid w:val="00A416EC"/>
    <w:rsid w:val="00A41E87"/>
    <w:rsid w:val="00A426DD"/>
    <w:rsid w:val="00A42908"/>
    <w:rsid w:val="00A43194"/>
    <w:rsid w:val="00A43234"/>
    <w:rsid w:val="00A43488"/>
    <w:rsid w:val="00A43CCF"/>
    <w:rsid w:val="00A45320"/>
    <w:rsid w:val="00A458D6"/>
    <w:rsid w:val="00A46469"/>
    <w:rsid w:val="00A47B56"/>
    <w:rsid w:val="00A50AB5"/>
    <w:rsid w:val="00A515A2"/>
    <w:rsid w:val="00A5179C"/>
    <w:rsid w:val="00A51C59"/>
    <w:rsid w:val="00A52C11"/>
    <w:rsid w:val="00A531DD"/>
    <w:rsid w:val="00A54794"/>
    <w:rsid w:val="00A5492B"/>
    <w:rsid w:val="00A5537D"/>
    <w:rsid w:val="00A56B2F"/>
    <w:rsid w:val="00A56DB9"/>
    <w:rsid w:val="00A6028D"/>
    <w:rsid w:val="00A619CF"/>
    <w:rsid w:val="00A62449"/>
    <w:rsid w:val="00A62669"/>
    <w:rsid w:val="00A62823"/>
    <w:rsid w:val="00A62A5F"/>
    <w:rsid w:val="00A62EB6"/>
    <w:rsid w:val="00A63491"/>
    <w:rsid w:val="00A638C1"/>
    <w:rsid w:val="00A63CD4"/>
    <w:rsid w:val="00A641DE"/>
    <w:rsid w:val="00A646E0"/>
    <w:rsid w:val="00A648FA"/>
    <w:rsid w:val="00A64D13"/>
    <w:rsid w:val="00A655A2"/>
    <w:rsid w:val="00A65AF4"/>
    <w:rsid w:val="00A65C41"/>
    <w:rsid w:val="00A70620"/>
    <w:rsid w:val="00A71388"/>
    <w:rsid w:val="00A73280"/>
    <w:rsid w:val="00A73DD4"/>
    <w:rsid w:val="00A74CBB"/>
    <w:rsid w:val="00A74EC6"/>
    <w:rsid w:val="00A75BC0"/>
    <w:rsid w:val="00A76103"/>
    <w:rsid w:val="00A765DA"/>
    <w:rsid w:val="00A77063"/>
    <w:rsid w:val="00A773CA"/>
    <w:rsid w:val="00A775CF"/>
    <w:rsid w:val="00A77922"/>
    <w:rsid w:val="00A77F73"/>
    <w:rsid w:val="00A81903"/>
    <w:rsid w:val="00A81E0A"/>
    <w:rsid w:val="00A826FD"/>
    <w:rsid w:val="00A8277C"/>
    <w:rsid w:val="00A828C7"/>
    <w:rsid w:val="00A83158"/>
    <w:rsid w:val="00A83336"/>
    <w:rsid w:val="00A8381A"/>
    <w:rsid w:val="00A839EB"/>
    <w:rsid w:val="00A84F4A"/>
    <w:rsid w:val="00A86595"/>
    <w:rsid w:val="00A86CE0"/>
    <w:rsid w:val="00A87B7D"/>
    <w:rsid w:val="00A90423"/>
    <w:rsid w:val="00A905E2"/>
    <w:rsid w:val="00A90D9E"/>
    <w:rsid w:val="00A9162D"/>
    <w:rsid w:val="00A91CCD"/>
    <w:rsid w:val="00A92653"/>
    <w:rsid w:val="00A9285A"/>
    <w:rsid w:val="00A936D7"/>
    <w:rsid w:val="00A93763"/>
    <w:rsid w:val="00A94447"/>
    <w:rsid w:val="00A950B1"/>
    <w:rsid w:val="00A95FBF"/>
    <w:rsid w:val="00A96543"/>
    <w:rsid w:val="00A96D65"/>
    <w:rsid w:val="00A972EF"/>
    <w:rsid w:val="00A97B0B"/>
    <w:rsid w:val="00AA0555"/>
    <w:rsid w:val="00AA10A4"/>
    <w:rsid w:val="00AA19A0"/>
    <w:rsid w:val="00AA20AB"/>
    <w:rsid w:val="00AA22C2"/>
    <w:rsid w:val="00AA238E"/>
    <w:rsid w:val="00AA37EA"/>
    <w:rsid w:val="00AA3CC3"/>
    <w:rsid w:val="00AA459C"/>
    <w:rsid w:val="00AA45C2"/>
    <w:rsid w:val="00AA4625"/>
    <w:rsid w:val="00AA4E2F"/>
    <w:rsid w:val="00AA575F"/>
    <w:rsid w:val="00AA5F97"/>
    <w:rsid w:val="00AA6374"/>
    <w:rsid w:val="00AA6CE8"/>
    <w:rsid w:val="00AA7139"/>
    <w:rsid w:val="00AA7FF3"/>
    <w:rsid w:val="00AB09C7"/>
    <w:rsid w:val="00AB0E8A"/>
    <w:rsid w:val="00AB1589"/>
    <w:rsid w:val="00AB1A39"/>
    <w:rsid w:val="00AB1F0F"/>
    <w:rsid w:val="00AB2015"/>
    <w:rsid w:val="00AB26B5"/>
    <w:rsid w:val="00AB27E5"/>
    <w:rsid w:val="00AB32A4"/>
    <w:rsid w:val="00AB3C58"/>
    <w:rsid w:val="00AB3D08"/>
    <w:rsid w:val="00AB4344"/>
    <w:rsid w:val="00AB444F"/>
    <w:rsid w:val="00AB4B93"/>
    <w:rsid w:val="00AB4E0C"/>
    <w:rsid w:val="00AB5A70"/>
    <w:rsid w:val="00AB5E12"/>
    <w:rsid w:val="00AB7801"/>
    <w:rsid w:val="00AB7BDB"/>
    <w:rsid w:val="00AC0179"/>
    <w:rsid w:val="00AC277F"/>
    <w:rsid w:val="00AC27DF"/>
    <w:rsid w:val="00AC27EA"/>
    <w:rsid w:val="00AC28DB"/>
    <w:rsid w:val="00AC5636"/>
    <w:rsid w:val="00AC61B6"/>
    <w:rsid w:val="00AC6489"/>
    <w:rsid w:val="00AC6609"/>
    <w:rsid w:val="00AC66E7"/>
    <w:rsid w:val="00AD11E5"/>
    <w:rsid w:val="00AD13E2"/>
    <w:rsid w:val="00AD1AA9"/>
    <w:rsid w:val="00AD2150"/>
    <w:rsid w:val="00AD2610"/>
    <w:rsid w:val="00AD28FF"/>
    <w:rsid w:val="00AD3157"/>
    <w:rsid w:val="00AD3653"/>
    <w:rsid w:val="00AD3CF4"/>
    <w:rsid w:val="00AD3DC7"/>
    <w:rsid w:val="00AD4718"/>
    <w:rsid w:val="00AD4A57"/>
    <w:rsid w:val="00AD5578"/>
    <w:rsid w:val="00AD5764"/>
    <w:rsid w:val="00AD5919"/>
    <w:rsid w:val="00AD5FDB"/>
    <w:rsid w:val="00AD625F"/>
    <w:rsid w:val="00AD66BD"/>
    <w:rsid w:val="00AD7BEB"/>
    <w:rsid w:val="00AD7D89"/>
    <w:rsid w:val="00AE28FD"/>
    <w:rsid w:val="00AE3CDD"/>
    <w:rsid w:val="00AE4729"/>
    <w:rsid w:val="00AE6104"/>
    <w:rsid w:val="00AE7881"/>
    <w:rsid w:val="00AE7D54"/>
    <w:rsid w:val="00AF2199"/>
    <w:rsid w:val="00AF22FC"/>
    <w:rsid w:val="00AF2D0E"/>
    <w:rsid w:val="00AF2FA0"/>
    <w:rsid w:val="00AF3459"/>
    <w:rsid w:val="00AF35B3"/>
    <w:rsid w:val="00AF3DAB"/>
    <w:rsid w:val="00AF4B75"/>
    <w:rsid w:val="00AF4F75"/>
    <w:rsid w:val="00AF6639"/>
    <w:rsid w:val="00AF69CA"/>
    <w:rsid w:val="00AF6B43"/>
    <w:rsid w:val="00AF7592"/>
    <w:rsid w:val="00AF7BEC"/>
    <w:rsid w:val="00AF7D2A"/>
    <w:rsid w:val="00AF7F31"/>
    <w:rsid w:val="00B00036"/>
    <w:rsid w:val="00B006E6"/>
    <w:rsid w:val="00B00A94"/>
    <w:rsid w:val="00B012CC"/>
    <w:rsid w:val="00B01356"/>
    <w:rsid w:val="00B01BF5"/>
    <w:rsid w:val="00B01E43"/>
    <w:rsid w:val="00B01F28"/>
    <w:rsid w:val="00B02904"/>
    <w:rsid w:val="00B02995"/>
    <w:rsid w:val="00B03778"/>
    <w:rsid w:val="00B044C8"/>
    <w:rsid w:val="00B04C7C"/>
    <w:rsid w:val="00B0541B"/>
    <w:rsid w:val="00B05FAC"/>
    <w:rsid w:val="00B0636F"/>
    <w:rsid w:val="00B067C5"/>
    <w:rsid w:val="00B10478"/>
    <w:rsid w:val="00B1184F"/>
    <w:rsid w:val="00B12823"/>
    <w:rsid w:val="00B131DE"/>
    <w:rsid w:val="00B13532"/>
    <w:rsid w:val="00B13665"/>
    <w:rsid w:val="00B13CCB"/>
    <w:rsid w:val="00B1472B"/>
    <w:rsid w:val="00B14A85"/>
    <w:rsid w:val="00B150EF"/>
    <w:rsid w:val="00B16192"/>
    <w:rsid w:val="00B17157"/>
    <w:rsid w:val="00B2134B"/>
    <w:rsid w:val="00B21841"/>
    <w:rsid w:val="00B21F6F"/>
    <w:rsid w:val="00B22093"/>
    <w:rsid w:val="00B2294D"/>
    <w:rsid w:val="00B22BEB"/>
    <w:rsid w:val="00B236AC"/>
    <w:rsid w:val="00B23E33"/>
    <w:rsid w:val="00B25705"/>
    <w:rsid w:val="00B260BA"/>
    <w:rsid w:val="00B26328"/>
    <w:rsid w:val="00B26339"/>
    <w:rsid w:val="00B2665C"/>
    <w:rsid w:val="00B2666A"/>
    <w:rsid w:val="00B26CA9"/>
    <w:rsid w:val="00B26F25"/>
    <w:rsid w:val="00B27216"/>
    <w:rsid w:val="00B27CED"/>
    <w:rsid w:val="00B3005D"/>
    <w:rsid w:val="00B30895"/>
    <w:rsid w:val="00B31464"/>
    <w:rsid w:val="00B3161D"/>
    <w:rsid w:val="00B31EEC"/>
    <w:rsid w:val="00B326BD"/>
    <w:rsid w:val="00B3310D"/>
    <w:rsid w:val="00B34E86"/>
    <w:rsid w:val="00B34FB0"/>
    <w:rsid w:val="00B36A71"/>
    <w:rsid w:val="00B37031"/>
    <w:rsid w:val="00B37C73"/>
    <w:rsid w:val="00B37EC6"/>
    <w:rsid w:val="00B37ED8"/>
    <w:rsid w:val="00B4023C"/>
    <w:rsid w:val="00B405F6"/>
    <w:rsid w:val="00B40B22"/>
    <w:rsid w:val="00B40CAD"/>
    <w:rsid w:val="00B41B13"/>
    <w:rsid w:val="00B41DCF"/>
    <w:rsid w:val="00B42330"/>
    <w:rsid w:val="00B425D6"/>
    <w:rsid w:val="00B42E3C"/>
    <w:rsid w:val="00B4317F"/>
    <w:rsid w:val="00B4383B"/>
    <w:rsid w:val="00B43E25"/>
    <w:rsid w:val="00B43F75"/>
    <w:rsid w:val="00B458E6"/>
    <w:rsid w:val="00B46134"/>
    <w:rsid w:val="00B46485"/>
    <w:rsid w:val="00B46801"/>
    <w:rsid w:val="00B468B2"/>
    <w:rsid w:val="00B50D18"/>
    <w:rsid w:val="00B531B4"/>
    <w:rsid w:val="00B534B5"/>
    <w:rsid w:val="00B54007"/>
    <w:rsid w:val="00B54C4A"/>
    <w:rsid w:val="00B54DE3"/>
    <w:rsid w:val="00B5572C"/>
    <w:rsid w:val="00B560E8"/>
    <w:rsid w:val="00B56750"/>
    <w:rsid w:val="00B56995"/>
    <w:rsid w:val="00B56D3A"/>
    <w:rsid w:val="00B56E39"/>
    <w:rsid w:val="00B60525"/>
    <w:rsid w:val="00B60F14"/>
    <w:rsid w:val="00B622D0"/>
    <w:rsid w:val="00B62555"/>
    <w:rsid w:val="00B63F66"/>
    <w:rsid w:val="00B646F0"/>
    <w:rsid w:val="00B652C8"/>
    <w:rsid w:val="00B657C1"/>
    <w:rsid w:val="00B667AA"/>
    <w:rsid w:val="00B66CAB"/>
    <w:rsid w:val="00B675FE"/>
    <w:rsid w:val="00B704B4"/>
    <w:rsid w:val="00B717B3"/>
    <w:rsid w:val="00B71844"/>
    <w:rsid w:val="00B7280B"/>
    <w:rsid w:val="00B74596"/>
    <w:rsid w:val="00B74AA4"/>
    <w:rsid w:val="00B752C1"/>
    <w:rsid w:val="00B758C2"/>
    <w:rsid w:val="00B75C24"/>
    <w:rsid w:val="00B75D03"/>
    <w:rsid w:val="00B76850"/>
    <w:rsid w:val="00B769DE"/>
    <w:rsid w:val="00B76B49"/>
    <w:rsid w:val="00B77041"/>
    <w:rsid w:val="00B77258"/>
    <w:rsid w:val="00B772CB"/>
    <w:rsid w:val="00B77F56"/>
    <w:rsid w:val="00B800B5"/>
    <w:rsid w:val="00B80F1E"/>
    <w:rsid w:val="00B81494"/>
    <w:rsid w:val="00B81524"/>
    <w:rsid w:val="00B81A0E"/>
    <w:rsid w:val="00B84743"/>
    <w:rsid w:val="00B84FC5"/>
    <w:rsid w:val="00B85226"/>
    <w:rsid w:val="00B86E69"/>
    <w:rsid w:val="00B871C4"/>
    <w:rsid w:val="00B8720C"/>
    <w:rsid w:val="00B87759"/>
    <w:rsid w:val="00B87E08"/>
    <w:rsid w:val="00B90839"/>
    <w:rsid w:val="00B90E02"/>
    <w:rsid w:val="00B91EC4"/>
    <w:rsid w:val="00B926BB"/>
    <w:rsid w:val="00B92D8D"/>
    <w:rsid w:val="00B93D81"/>
    <w:rsid w:val="00B94733"/>
    <w:rsid w:val="00B9515F"/>
    <w:rsid w:val="00B95171"/>
    <w:rsid w:val="00B9527A"/>
    <w:rsid w:val="00B9558B"/>
    <w:rsid w:val="00B9675A"/>
    <w:rsid w:val="00B97477"/>
    <w:rsid w:val="00B97CEA"/>
    <w:rsid w:val="00BA073D"/>
    <w:rsid w:val="00BA0766"/>
    <w:rsid w:val="00BA1CD2"/>
    <w:rsid w:val="00BA2159"/>
    <w:rsid w:val="00BA284B"/>
    <w:rsid w:val="00BA2924"/>
    <w:rsid w:val="00BA396E"/>
    <w:rsid w:val="00BA39B6"/>
    <w:rsid w:val="00BA3B2C"/>
    <w:rsid w:val="00BA5A1C"/>
    <w:rsid w:val="00BA6014"/>
    <w:rsid w:val="00BA71F7"/>
    <w:rsid w:val="00BA7C83"/>
    <w:rsid w:val="00BB03BF"/>
    <w:rsid w:val="00BB090E"/>
    <w:rsid w:val="00BB0B5C"/>
    <w:rsid w:val="00BB1B09"/>
    <w:rsid w:val="00BB21FA"/>
    <w:rsid w:val="00BB2333"/>
    <w:rsid w:val="00BB261B"/>
    <w:rsid w:val="00BB2A62"/>
    <w:rsid w:val="00BB2AB3"/>
    <w:rsid w:val="00BB2FBC"/>
    <w:rsid w:val="00BB325B"/>
    <w:rsid w:val="00BB3FAE"/>
    <w:rsid w:val="00BB4098"/>
    <w:rsid w:val="00BB4991"/>
    <w:rsid w:val="00BB4EE7"/>
    <w:rsid w:val="00BB5139"/>
    <w:rsid w:val="00BB513B"/>
    <w:rsid w:val="00BB5896"/>
    <w:rsid w:val="00BB5ED5"/>
    <w:rsid w:val="00BB6E25"/>
    <w:rsid w:val="00BB7155"/>
    <w:rsid w:val="00BB770C"/>
    <w:rsid w:val="00BB7DB9"/>
    <w:rsid w:val="00BC07ED"/>
    <w:rsid w:val="00BC0995"/>
    <w:rsid w:val="00BC1068"/>
    <w:rsid w:val="00BC1612"/>
    <w:rsid w:val="00BC1DDD"/>
    <w:rsid w:val="00BC2262"/>
    <w:rsid w:val="00BC2798"/>
    <w:rsid w:val="00BC2A29"/>
    <w:rsid w:val="00BC2CEE"/>
    <w:rsid w:val="00BC32A4"/>
    <w:rsid w:val="00BC33A1"/>
    <w:rsid w:val="00BC4425"/>
    <w:rsid w:val="00BC4E29"/>
    <w:rsid w:val="00BC4FFD"/>
    <w:rsid w:val="00BC5728"/>
    <w:rsid w:val="00BC6B15"/>
    <w:rsid w:val="00BD095A"/>
    <w:rsid w:val="00BD19D8"/>
    <w:rsid w:val="00BD1EF8"/>
    <w:rsid w:val="00BD207F"/>
    <w:rsid w:val="00BD37D1"/>
    <w:rsid w:val="00BD3888"/>
    <w:rsid w:val="00BD59B1"/>
    <w:rsid w:val="00BD70FD"/>
    <w:rsid w:val="00BD7191"/>
    <w:rsid w:val="00BD7400"/>
    <w:rsid w:val="00BD77DC"/>
    <w:rsid w:val="00BE002B"/>
    <w:rsid w:val="00BE163A"/>
    <w:rsid w:val="00BE1CF5"/>
    <w:rsid w:val="00BE1F77"/>
    <w:rsid w:val="00BE2112"/>
    <w:rsid w:val="00BE22DA"/>
    <w:rsid w:val="00BE274C"/>
    <w:rsid w:val="00BE3469"/>
    <w:rsid w:val="00BE38F5"/>
    <w:rsid w:val="00BE466C"/>
    <w:rsid w:val="00BE4CAE"/>
    <w:rsid w:val="00BE69D1"/>
    <w:rsid w:val="00BE6CB8"/>
    <w:rsid w:val="00BE7625"/>
    <w:rsid w:val="00BF0D50"/>
    <w:rsid w:val="00BF1221"/>
    <w:rsid w:val="00BF2C56"/>
    <w:rsid w:val="00BF2E42"/>
    <w:rsid w:val="00BF3D58"/>
    <w:rsid w:val="00BF4E37"/>
    <w:rsid w:val="00BF51EA"/>
    <w:rsid w:val="00BF5904"/>
    <w:rsid w:val="00BF59C2"/>
    <w:rsid w:val="00BF5B52"/>
    <w:rsid w:val="00BF5BCB"/>
    <w:rsid w:val="00BF6467"/>
    <w:rsid w:val="00BF65EE"/>
    <w:rsid w:val="00BF6653"/>
    <w:rsid w:val="00BF7EEB"/>
    <w:rsid w:val="00C003D2"/>
    <w:rsid w:val="00C00886"/>
    <w:rsid w:val="00C0158F"/>
    <w:rsid w:val="00C0254C"/>
    <w:rsid w:val="00C029F6"/>
    <w:rsid w:val="00C02F52"/>
    <w:rsid w:val="00C0387D"/>
    <w:rsid w:val="00C0430F"/>
    <w:rsid w:val="00C0523B"/>
    <w:rsid w:val="00C0549F"/>
    <w:rsid w:val="00C05772"/>
    <w:rsid w:val="00C061A4"/>
    <w:rsid w:val="00C07A02"/>
    <w:rsid w:val="00C07AD6"/>
    <w:rsid w:val="00C1029D"/>
    <w:rsid w:val="00C117BA"/>
    <w:rsid w:val="00C12A3C"/>
    <w:rsid w:val="00C1338A"/>
    <w:rsid w:val="00C135CF"/>
    <w:rsid w:val="00C142BA"/>
    <w:rsid w:val="00C14C2D"/>
    <w:rsid w:val="00C14DDA"/>
    <w:rsid w:val="00C15CF8"/>
    <w:rsid w:val="00C15ECA"/>
    <w:rsid w:val="00C166F3"/>
    <w:rsid w:val="00C17667"/>
    <w:rsid w:val="00C17A97"/>
    <w:rsid w:val="00C20B82"/>
    <w:rsid w:val="00C2107F"/>
    <w:rsid w:val="00C2112C"/>
    <w:rsid w:val="00C21F26"/>
    <w:rsid w:val="00C22A04"/>
    <w:rsid w:val="00C23592"/>
    <w:rsid w:val="00C23D97"/>
    <w:rsid w:val="00C24E67"/>
    <w:rsid w:val="00C2506E"/>
    <w:rsid w:val="00C27802"/>
    <w:rsid w:val="00C27ED8"/>
    <w:rsid w:val="00C304B5"/>
    <w:rsid w:val="00C30734"/>
    <w:rsid w:val="00C30D4A"/>
    <w:rsid w:val="00C31154"/>
    <w:rsid w:val="00C31966"/>
    <w:rsid w:val="00C319BA"/>
    <w:rsid w:val="00C323EA"/>
    <w:rsid w:val="00C32A79"/>
    <w:rsid w:val="00C33398"/>
    <w:rsid w:val="00C33409"/>
    <w:rsid w:val="00C336F6"/>
    <w:rsid w:val="00C33B3C"/>
    <w:rsid w:val="00C33D01"/>
    <w:rsid w:val="00C33F15"/>
    <w:rsid w:val="00C349A0"/>
    <w:rsid w:val="00C34EE3"/>
    <w:rsid w:val="00C3530C"/>
    <w:rsid w:val="00C3576C"/>
    <w:rsid w:val="00C37D95"/>
    <w:rsid w:val="00C4090D"/>
    <w:rsid w:val="00C411FF"/>
    <w:rsid w:val="00C41FA2"/>
    <w:rsid w:val="00C4297A"/>
    <w:rsid w:val="00C43BBF"/>
    <w:rsid w:val="00C4490D"/>
    <w:rsid w:val="00C46CC8"/>
    <w:rsid w:val="00C47312"/>
    <w:rsid w:val="00C474AE"/>
    <w:rsid w:val="00C50067"/>
    <w:rsid w:val="00C50502"/>
    <w:rsid w:val="00C512DE"/>
    <w:rsid w:val="00C51831"/>
    <w:rsid w:val="00C52204"/>
    <w:rsid w:val="00C537B9"/>
    <w:rsid w:val="00C53AD2"/>
    <w:rsid w:val="00C53E1D"/>
    <w:rsid w:val="00C54799"/>
    <w:rsid w:val="00C54EC2"/>
    <w:rsid w:val="00C551AE"/>
    <w:rsid w:val="00C55CF6"/>
    <w:rsid w:val="00C56ACC"/>
    <w:rsid w:val="00C56D30"/>
    <w:rsid w:val="00C57D7F"/>
    <w:rsid w:val="00C6001F"/>
    <w:rsid w:val="00C60883"/>
    <w:rsid w:val="00C60C47"/>
    <w:rsid w:val="00C60E6F"/>
    <w:rsid w:val="00C6118C"/>
    <w:rsid w:val="00C61771"/>
    <w:rsid w:val="00C61B85"/>
    <w:rsid w:val="00C61E5E"/>
    <w:rsid w:val="00C61ED6"/>
    <w:rsid w:val="00C61FE7"/>
    <w:rsid w:val="00C62C3E"/>
    <w:rsid w:val="00C62F8B"/>
    <w:rsid w:val="00C6348A"/>
    <w:rsid w:val="00C637F5"/>
    <w:rsid w:val="00C63EFD"/>
    <w:rsid w:val="00C64494"/>
    <w:rsid w:val="00C64692"/>
    <w:rsid w:val="00C652A8"/>
    <w:rsid w:val="00C65AA1"/>
    <w:rsid w:val="00C66A65"/>
    <w:rsid w:val="00C67A12"/>
    <w:rsid w:val="00C70495"/>
    <w:rsid w:val="00C7065D"/>
    <w:rsid w:val="00C70BA4"/>
    <w:rsid w:val="00C7164D"/>
    <w:rsid w:val="00C719E1"/>
    <w:rsid w:val="00C72025"/>
    <w:rsid w:val="00C72238"/>
    <w:rsid w:val="00C7344B"/>
    <w:rsid w:val="00C750A8"/>
    <w:rsid w:val="00C7513B"/>
    <w:rsid w:val="00C75CF7"/>
    <w:rsid w:val="00C765B6"/>
    <w:rsid w:val="00C76C97"/>
    <w:rsid w:val="00C7708D"/>
    <w:rsid w:val="00C77DA2"/>
    <w:rsid w:val="00C8096D"/>
    <w:rsid w:val="00C84761"/>
    <w:rsid w:val="00C84A5B"/>
    <w:rsid w:val="00C84BC2"/>
    <w:rsid w:val="00C8718C"/>
    <w:rsid w:val="00C87A18"/>
    <w:rsid w:val="00C87C2A"/>
    <w:rsid w:val="00C90A80"/>
    <w:rsid w:val="00C91A95"/>
    <w:rsid w:val="00C929E1"/>
    <w:rsid w:val="00C932C2"/>
    <w:rsid w:val="00C93982"/>
    <w:rsid w:val="00C9444C"/>
    <w:rsid w:val="00C951BC"/>
    <w:rsid w:val="00C95A54"/>
    <w:rsid w:val="00C973C3"/>
    <w:rsid w:val="00C97836"/>
    <w:rsid w:val="00C979DE"/>
    <w:rsid w:val="00CA12DF"/>
    <w:rsid w:val="00CA1A9B"/>
    <w:rsid w:val="00CA2A30"/>
    <w:rsid w:val="00CA2F28"/>
    <w:rsid w:val="00CA2FB7"/>
    <w:rsid w:val="00CA329D"/>
    <w:rsid w:val="00CA37AB"/>
    <w:rsid w:val="00CA3A7C"/>
    <w:rsid w:val="00CA40B9"/>
    <w:rsid w:val="00CA43F8"/>
    <w:rsid w:val="00CA43F9"/>
    <w:rsid w:val="00CA5327"/>
    <w:rsid w:val="00CA6407"/>
    <w:rsid w:val="00CA64F0"/>
    <w:rsid w:val="00CA668F"/>
    <w:rsid w:val="00CA68CA"/>
    <w:rsid w:val="00CA7DC5"/>
    <w:rsid w:val="00CB04FA"/>
    <w:rsid w:val="00CB0EA1"/>
    <w:rsid w:val="00CB151B"/>
    <w:rsid w:val="00CB2190"/>
    <w:rsid w:val="00CB33D3"/>
    <w:rsid w:val="00CB56FD"/>
    <w:rsid w:val="00CB6985"/>
    <w:rsid w:val="00CB71E3"/>
    <w:rsid w:val="00CB7E25"/>
    <w:rsid w:val="00CC1A4E"/>
    <w:rsid w:val="00CC1C01"/>
    <w:rsid w:val="00CC2EC4"/>
    <w:rsid w:val="00CC2FF8"/>
    <w:rsid w:val="00CC305A"/>
    <w:rsid w:val="00CC3CA4"/>
    <w:rsid w:val="00CC3D0A"/>
    <w:rsid w:val="00CC3F40"/>
    <w:rsid w:val="00CC4A60"/>
    <w:rsid w:val="00CC4B7B"/>
    <w:rsid w:val="00CC4D2A"/>
    <w:rsid w:val="00CC55A8"/>
    <w:rsid w:val="00CC5D45"/>
    <w:rsid w:val="00CC670F"/>
    <w:rsid w:val="00CC675B"/>
    <w:rsid w:val="00CC6C68"/>
    <w:rsid w:val="00CC7496"/>
    <w:rsid w:val="00CC74EE"/>
    <w:rsid w:val="00CC75B9"/>
    <w:rsid w:val="00CC76C2"/>
    <w:rsid w:val="00CC7CC1"/>
    <w:rsid w:val="00CC7F27"/>
    <w:rsid w:val="00CD0139"/>
    <w:rsid w:val="00CD0B6A"/>
    <w:rsid w:val="00CD1DBB"/>
    <w:rsid w:val="00CD1E70"/>
    <w:rsid w:val="00CD1FBD"/>
    <w:rsid w:val="00CD42C6"/>
    <w:rsid w:val="00CD6555"/>
    <w:rsid w:val="00CD69EC"/>
    <w:rsid w:val="00CE0930"/>
    <w:rsid w:val="00CE28DA"/>
    <w:rsid w:val="00CE2F1F"/>
    <w:rsid w:val="00CE3CD9"/>
    <w:rsid w:val="00CE494F"/>
    <w:rsid w:val="00CE4DE6"/>
    <w:rsid w:val="00CE5569"/>
    <w:rsid w:val="00CE6191"/>
    <w:rsid w:val="00CE7C7F"/>
    <w:rsid w:val="00CF068A"/>
    <w:rsid w:val="00CF0789"/>
    <w:rsid w:val="00CF0B2C"/>
    <w:rsid w:val="00CF0FBB"/>
    <w:rsid w:val="00CF1557"/>
    <w:rsid w:val="00CF1E34"/>
    <w:rsid w:val="00CF2A39"/>
    <w:rsid w:val="00CF2C71"/>
    <w:rsid w:val="00CF3640"/>
    <w:rsid w:val="00CF4253"/>
    <w:rsid w:val="00CF42C1"/>
    <w:rsid w:val="00CF4772"/>
    <w:rsid w:val="00CF4D85"/>
    <w:rsid w:val="00CF4FD3"/>
    <w:rsid w:val="00CF579C"/>
    <w:rsid w:val="00CF5A5B"/>
    <w:rsid w:val="00CF67E4"/>
    <w:rsid w:val="00CF6909"/>
    <w:rsid w:val="00CF692B"/>
    <w:rsid w:val="00CF6B52"/>
    <w:rsid w:val="00CF72CE"/>
    <w:rsid w:val="00D0056F"/>
    <w:rsid w:val="00D009AB"/>
    <w:rsid w:val="00D00A83"/>
    <w:rsid w:val="00D0180F"/>
    <w:rsid w:val="00D02317"/>
    <w:rsid w:val="00D026F7"/>
    <w:rsid w:val="00D03613"/>
    <w:rsid w:val="00D045A8"/>
    <w:rsid w:val="00D065B5"/>
    <w:rsid w:val="00D06910"/>
    <w:rsid w:val="00D0710C"/>
    <w:rsid w:val="00D07241"/>
    <w:rsid w:val="00D07422"/>
    <w:rsid w:val="00D074AC"/>
    <w:rsid w:val="00D074FA"/>
    <w:rsid w:val="00D10FB5"/>
    <w:rsid w:val="00D115E0"/>
    <w:rsid w:val="00D11E31"/>
    <w:rsid w:val="00D11E97"/>
    <w:rsid w:val="00D122AB"/>
    <w:rsid w:val="00D12864"/>
    <w:rsid w:val="00D12CEB"/>
    <w:rsid w:val="00D13C78"/>
    <w:rsid w:val="00D13F40"/>
    <w:rsid w:val="00D15176"/>
    <w:rsid w:val="00D155C0"/>
    <w:rsid w:val="00D15E3D"/>
    <w:rsid w:val="00D16685"/>
    <w:rsid w:val="00D166EF"/>
    <w:rsid w:val="00D1675D"/>
    <w:rsid w:val="00D16FE6"/>
    <w:rsid w:val="00D21129"/>
    <w:rsid w:val="00D22509"/>
    <w:rsid w:val="00D22889"/>
    <w:rsid w:val="00D23E31"/>
    <w:rsid w:val="00D276E6"/>
    <w:rsid w:val="00D277E1"/>
    <w:rsid w:val="00D27A26"/>
    <w:rsid w:val="00D27BBA"/>
    <w:rsid w:val="00D27F59"/>
    <w:rsid w:val="00D30842"/>
    <w:rsid w:val="00D30DA7"/>
    <w:rsid w:val="00D316D3"/>
    <w:rsid w:val="00D33026"/>
    <w:rsid w:val="00D334F4"/>
    <w:rsid w:val="00D3374F"/>
    <w:rsid w:val="00D344FF"/>
    <w:rsid w:val="00D34AEB"/>
    <w:rsid w:val="00D34C38"/>
    <w:rsid w:val="00D34C8B"/>
    <w:rsid w:val="00D3555E"/>
    <w:rsid w:val="00D3563E"/>
    <w:rsid w:val="00D35E8F"/>
    <w:rsid w:val="00D3648A"/>
    <w:rsid w:val="00D36AA7"/>
    <w:rsid w:val="00D36C03"/>
    <w:rsid w:val="00D40419"/>
    <w:rsid w:val="00D41560"/>
    <w:rsid w:val="00D4291F"/>
    <w:rsid w:val="00D44726"/>
    <w:rsid w:val="00D44844"/>
    <w:rsid w:val="00D4510D"/>
    <w:rsid w:val="00D4633A"/>
    <w:rsid w:val="00D46DA0"/>
    <w:rsid w:val="00D471CB"/>
    <w:rsid w:val="00D50B5C"/>
    <w:rsid w:val="00D510F0"/>
    <w:rsid w:val="00D51217"/>
    <w:rsid w:val="00D5163A"/>
    <w:rsid w:val="00D51AB0"/>
    <w:rsid w:val="00D51B70"/>
    <w:rsid w:val="00D522D2"/>
    <w:rsid w:val="00D52B74"/>
    <w:rsid w:val="00D53303"/>
    <w:rsid w:val="00D53FAF"/>
    <w:rsid w:val="00D54545"/>
    <w:rsid w:val="00D54618"/>
    <w:rsid w:val="00D54673"/>
    <w:rsid w:val="00D54D60"/>
    <w:rsid w:val="00D5500C"/>
    <w:rsid w:val="00D555BD"/>
    <w:rsid w:val="00D559FA"/>
    <w:rsid w:val="00D566EF"/>
    <w:rsid w:val="00D56F1F"/>
    <w:rsid w:val="00D573D4"/>
    <w:rsid w:val="00D60018"/>
    <w:rsid w:val="00D60508"/>
    <w:rsid w:val="00D6052F"/>
    <w:rsid w:val="00D61704"/>
    <w:rsid w:val="00D61DF8"/>
    <w:rsid w:val="00D620A3"/>
    <w:rsid w:val="00D633D8"/>
    <w:rsid w:val="00D6344A"/>
    <w:rsid w:val="00D63BF3"/>
    <w:rsid w:val="00D64303"/>
    <w:rsid w:val="00D64380"/>
    <w:rsid w:val="00D64640"/>
    <w:rsid w:val="00D64BE7"/>
    <w:rsid w:val="00D6593C"/>
    <w:rsid w:val="00D65E6B"/>
    <w:rsid w:val="00D66236"/>
    <w:rsid w:val="00D66CB4"/>
    <w:rsid w:val="00D6774C"/>
    <w:rsid w:val="00D67D69"/>
    <w:rsid w:val="00D67EAB"/>
    <w:rsid w:val="00D7104F"/>
    <w:rsid w:val="00D722DC"/>
    <w:rsid w:val="00D7336B"/>
    <w:rsid w:val="00D73482"/>
    <w:rsid w:val="00D73C21"/>
    <w:rsid w:val="00D73E8B"/>
    <w:rsid w:val="00D74A34"/>
    <w:rsid w:val="00D76149"/>
    <w:rsid w:val="00D76BEA"/>
    <w:rsid w:val="00D77E9E"/>
    <w:rsid w:val="00D813F3"/>
    <w:rsid w:val="00D8165E"/>
    <w:rsid w:val="00D81A33"/>
    <w:rsid w:val="00D81EB2"/>
    <w:rsid w:val="00D81F91"/>
    <w:rsid w:val="00D82CFB"/>
    <w:rsid w:val="00D82EBD"/>
    <w:rsid w:val="00D83B73"/>
    <w:rsid w:val="00D84114"/>
    <w:rsid w:val="00D854FD"/>
    <w:rsid w:val="00D855E3"/>
    <w:rsid w:val="00D85727"/>
    <w:rsid w:val="00D85BD2"/>
    <w:rsid w:val="00D86DF3"/>
    <w:rsid w:val="00D87088"/>
    <w:rsid w:val="00D87804"/>
    <w:rsid w:val="00D87C38"/>
    <w:rsid w:val="00D87F3D"/>
    <w:rsid w:val="00D91423"/>
    <w:rsid w:val="00D9189A"/>
    <w:rsid w:val="00D92950"/>
    <w:rsid w:val="00D943F1"/>
    <w:rsid w:val="00D947EE"/>
    <w:rsid w:val="00D9558D"/>
    <w:rsid w:val="00D95DD7"/>
    <w:rsid w:val="00D95F3C"/>
    <w:rsid w:val="00D9600C"/>
    <w:rsid w:val="00D96C25"/>
    <w:rsid w:val="00D97434"/>
    <w:rsid w:val="00D97891"/>
    <w:rsid w:val="00DA05C9"/>
    <w:rsid w:val="00DA0AC6"/>
    <w:rsid w:val="00DA19B0"/>
    <w:rsid w:val="00DA25AC"/>
    <w:rsid w:val="00DA318F"/>
    <w:rsid w:val="00DA3ABA"/>
    <w:rsid w:val="00DA4388"/>
    <w:rsid w:val="00DA4C3E"/>
    <w:rsid w:val="00DA598A"/>
    <w:rsid w:val="00DA5C04"/>
    <w:rsid w:val="00DA5D35"/>
    <w:rsid w:val="00DA6DED"/>
    <w:rsid w:val="00DA73E7"/>
    <w:rsid w:val="00DA7DA9"/>
    <w:rsid w:val="00DA7E49"/>
    <w:rsid w:val="00DA7E94"/>
    <w:rsid w:val="00DB07C4"/>
    <w:rsid w:val="00DB08D3"/>
    <w:rsid w:val="00DB0DEE"/>
    <w:rsid w:val="00DB1076"/>
    <w:rsid w:val="00DB1E7B"/>
    <w:rsid w:val="00DB29CB"/>
    <w:rsid w:val="00DB4266"/>
    <w:rsid w:val="00DB481C"/>
    <w:rsid w:val="00DB62A9"/>
    <w:rsid w:val="00DB6CBD"/>
    <w:rsid w:val="00DC02D1"/>
    <w:rsid w:val="00DC1220"/>
    <w:rsid w:val="00DC1B99"/>
    <w:rsid w:val="00DC3017"/>
    <w:rsid w:val="00DC4013"/>
    <w:rsid w:val="00DC534B"/>
    <w:rsid w:val="00DC58D0"/>
    <w:rsid w:val="00DC60D1"/>
    <w:rsid w:val="00DC6E39"/>
    <w:rsid w:val="00DC6F01"/>
    <w:rsid w:val="00DC76D4"/>
    <w:rsid w:val="00DC7EDA"/>
    <w:rsid w:val="00DD0627"/>
    <w:rsid w:val="00DD0632"/>
    <w:rsid w:val="00DD0791"/>
    <w:rsid w:val="00DD1408"/>
    <w:rsid w:val="00DD179A"/>
    <w:rsid w:val="00DD1FE7"/>
    <w:rsid w:val="00DD20EF"/>
    <w:rsid w:val="00DD24D9"/>
    <w:rsid w:val="00DD2868"/>
    <w:rsid w:val="00DD306B"/>
    <w:rsid w:val="00DD34CF"/>
    <w:rsid w:val="00DD3BE8"/>
    <w:rsid w:val="00DD41CE"/>
    <w:rsid w:val="00DD4B97"/>
    <w:rsid w:val="00DD6599"/>
    <w:rsid w:val="00DD7BC1"/>
    <w:rsid w:val="00DE0664"/>
    <w:rsid w:val="00DE11B1"/>
    <w:rsid w:val="00DE2B5F"/>
    <w:rsid w:val="00DE3B0C"/>
    <w:rsid w:val="00DE3FE2"/>
    <w:rsid w:val="00DE4117"/>
    <w:rsid w:val="00DE4980"/>
    <w:rsid w:val="00DE57C1"/>
    <w:rsid w:val="00DE57D2"/>
    <w:rsid w:val="00DE5EEA"/>
    <w:rsid w:val="00DE66C3"/>
    <w:rsid w:val="00DE73AF"/>
    <w:rsid w:val="00DF1545"/>
    <w:rsid w:val="00DF1755"/>
    <w:rsid w:val="00DF19D7"/>
    <w:rsid w:val="00DF2159"/>
    <w:rsid w:val="00DF2213"/>
    <w:rsid w:val="00DF2303"/>
    <w:rsid w:val="00DF2682"/>
    <w:rsid w:val="00DF306F"/>
    <w:rsid w:val="00DF3B8C"/>
    <w:rsid w:val="00DF58CC"/>
    <w:rsid w:val="00DF5AAA"/>
    <w:rsid w:val="00DF5B3B"/>
    <w:rsid w:val="00DF5CD3"/>
    <w:rsid w:val="00DF7A5C"/>
    <w:rsid w:val="00E011F2"/>
    <w:rsid w:val="00E01514"/>
    <w:rsid w:val="00E01BCE"/>
    <w:rsid w:val="00E02AF9"/>
    <w:rsid w:val="00E04CC7"/>
    <w:rsid w:val="00E0591A"/>
    <w:rsid w:val="00E059C7"/>
    <w:rsid w:val="00E05A80"/>
    <w:rsid w:val="00E062AD"/>
    <w:rsid w:val="00E07398"/>
    <w:rsid w:val="00E10519"/>
    <w:rsid w:val="00E109EA"/>
    <w:rsid w:val="00E10BBE"/>
    <w:rsid w:val="00E10CFC"/>
    <w:rsid w:val="00E12399"/>
    <w:rsid w:val="00E12C41"/>
    <w:rsid w:val="00E13A92"/>
    <w:rsid w:val="00E13D9C"/>
    <w:rsid w:val="00E140D6"/>
    <w:rsid w:val="00E1462D"/>
    <w:rsid w:val="00E152BD"/>
    <w:rsid w:val="00E15E23"/>
    <w:rsid w:val="00E15F5C"/>
    <w:rsid w:val="00E216A2"/>
    <w:rsid w:val="00E22299"/>
    <w:rsid w:val="00E222D1"/>
    <w:rsid w:val="00E22389"/>
    <w:rsid w:val="00E243BE"/>
    <w:rsid w:val="00E24907"/>
    <w:rsid w:val="00E265BD"/>
    <w:rsid w:val="00E26763"/>
    <w:rsid w:val="00E2718D"/>
    <w:rsid w:val="00E2742F"/>
    <w:rsid w:val="00E301B6"/>
    <w:rsid w:val="00E30837"/>
    <w:rsid w:val="00E3118A"/>
    <w:rsid w:val="00E3141F"/>
    <w:rsid w:val="00E3183D"/>
    <w:rsid w:val="00E31F0B"/>
    <w:rsid w:val="00E33188"/>
    <w:rsid w:val="00E3390E"/>
    <w:rsid w:val="00E33F66"/>
    <w:rsid w:val="00E34F54"/>
    <w:rsid w:val="00E35AAD"/>
    <w:rsid w:val="00E36378"/>
    <w:rsid w:val="00E3691A"/>
    <w:rsid w:val="00E37167"/>
    <w:rsid w:val="00E3719F"/>
    <w:rsid w:val="00E379B3"/>
    <w:rsid w:val="00E411F6"/>
    <w:rsid w:val="00E417A5"/>
    <w:rsid w:val="00E42EEE"/>
    <w:rsid w:val="00E43C41"/>
    <w:rsid w:val="00E43F4A"/>
    <w:rsid w:val="00E44551"/>
    <w:rsid w:val="00E450F7"/>
    <w:rsid w:val="00E45437"/>
    <w:rsid w:val="00E45B58"/>
    <w:rsid w:val="00E461A6"/>
    <w:rsid w:val="00E468B2"/>
    <w:rsid w:val="00E468DE"/>
    <w:rsid w:val="00E47188"/>
    <w:rsid w:val="00E473EC"/>
    <w:rsid w:val="00E47E74"/>
    <w:rsid w:val="00E50073"/>
    <w:rsid w:val="00E50BFE"/>
    <w:rsid w:val="00E51253"/>
    <w:rsid w:val="00E517DF"/>
    <w:rsid w:val="00E5260F"/>
    <w:rsid w:val="00E52E83"/>
    <w:rsid w:val="00E53F01"/>
    <w:rsid w:val="00E54304"/>
    <w:rsid w:val="00E548F1"/>
    <w:rsid w:val="00E54AB4"/>
    <w:rsid w:val="00E5571B"/>
    <w:rsid w:val="00E55911"/>
    <w:rsid w:val="00E55B75"/>
    <w:rsid w:val="00E562E9"/>
    <w:rsid w:val="00E5766D"/>
    <w:rsid w:val="00E57994"/>
    <w:rsid w:val="00E60C7C"/>
    <w:rsid w:val="00E6143E"/>
    <w:rsid w:val="00E617A9"/>
    <w:rsid w:val="00E6299B"/>
    <w:rsid w:val="00E62E5A"/>
    <w:rsid w:val="00E63812"/>
    <w:rsid w:val="00E652D2"/>
    <w:rsid w:val="00E66EA3"/>
    <w:rsid w:val="00E718FE"/>
    <w:rsid w:val="00E72002"/>
    <w:rsid w:val="00E724E9"/>
    <w:rsid w:val="00E72702"/>
    <w:rsid w:val="00E727FC"/>
    <w:rsid w:val="00E740AF"/>
    <w:rsid w:val="00E74311"/>
    <w:rsid w:val="00E74899"/>
    <w:rsid w:val="00E75111"/>
    <w:rsid w:val="00E7526B"/>
    <w:rsid w:val="00E75B42"/>
    <w:rsid w:val="00E76467"/>
    <w:rsid w:val="00E76A71"/>
    <w:rsid w:val="00E76C15"/>
    <w:rsid w:val="00E76FCA"/>
    <w:rsid w:val="00E77315"/>
    <w:rsid w:val="00E8149A"/>
    <w:rsid w:val="00E819C1"/>
    <w:rsid w:val="00E81E57"/>
    <w:rsid w:val="00E82038"/>
    <w:rsid w:val="00E822A8"/>
    <w:rsid w:val="00E843C6"/>
    <w:rsid w:val="00E847F0"/>
    <w:rsid w:val="00E86BB4"/>
    <w:rsid w:val="00E86D31"/>
    <w:rsid w:val="00E86FA6"/>
    <w:rsid w:val="00E87902"/>
    <w:rsid w:val="00E90053"/>
    <w:rsid w:val="00E91035"/>
    <w:rsid w:val="00E91D28"/>
    <w:rsid w:val="00E91F44"/>
    <w:rsid w:val="00E91F84"/>
    <w:rsid w:val="00E922EB"/>
    <w:rsid w:val="00E9270E"/>
    <w:rsid w:val="00E92FBE"/>
    <w:rsid w:val="00E93FCC"/>
    <w:rsid w:val="00E947F6"/>
    <w:rsid w:val="00E9508C"/>
    <w:rsid w:val="00E95C9E"/>
    <w:rsid w:val="00E95DFB"/>
    <w:rsid w:val="00E96A90"/>
    <w:rsid w:val="00E97691"/>
    <w:rsid w:val="00E97788"/>
    <w:rsid w:val="00E97B2C"/>
    <w:rsid w:val="00E97D67"/>
    <w:rsid w:val="00E97DD6"/>
    <w:rsid w:val="00EA031F"/>
    <w:rsid w:val="00EA0323"/>
    <w:rsid w:val="00EA07A9"/>
    <w:rsid w:val="00EA109C"/>
    <w:rsid w:val="00EA13B3"/>
    <w:rsid w:val="00EA1595"/>
    <w:rsid w:val="00EA2A88"/>
    <w:rsid w:val="00EA33D2"/>
    <w:rsid w:val="00EA46BC"/>
    <w:rsid w:val="00EA4824"/>
    <w:rsid w:val="00EA6131"/>
    <w:rsid w:val="00EA6CDA"/>
    <w:rsid w:val="00EA7BD1"/>
    <w:rsid w:val="00EB018C"/>
    <w:rsid w:val="00EB0295"/>
    <w:rsid w:val="00EB04F1"/>
    <w:rsid w:val="00EB0594"/>
    <w:rsid w:val="00EB08F2"/>
    <w:rsid w:val="00EB0D55"/>
    <w:rsid w:val="00EB0F2C"/>
    <w:rsid w:val="00EB1279"/>
    <w:rsid w:val="00EB1B8E"/>
    <w:rsid w:val="00EB1C12"/>
    <w:rsid w:val="00EB20F1"/>
    <w:rsid w:val="00EB2298"/>
    <w:rsid w:val="00EB2946"/>
    <w:rsid w:val="00EB32EA"/>
    <w:rsid w:val="00EB3CFB"/>
    <w:rsid w:val="00EB4642"/>
    <w:rsid w:val="00EB65D4"/>
    <w:rsid w:val="00EB77F6"/>
    <w:rsid w:val="00EB78B6"/>
    <w:rsid w:val="00EB7A7B"/>
    <w:rsid w:val="00EC1807"/>
    <w:rsid w:val="00EC23A7"/>
    <w:rsid w:val="00EC296A"/>
    <w:rsid w:val="00EC2BCA"/>
    <w:rsid w:val="00EC3066"/>
    <w:rsid w:val="00EC337B"/>
    <w:rsid w:val="00EC3A56"/>
    <w:rsid w:val="00EC410A"/>
    <w:rsid w:val="00ED1250"/>
    <w:rsid w:val="00ED2D46"/>
    <w:rsid w:val="00ED3270"/>
    <w:rsid w:val="00ED3C90"/>
    <w:rsid w:val="00ED46BA"/>
    <w:rsid w:val="00ED4E76"/>
    <w:rsid w:val="00ED5383"/>
    <w:rsid w:val="00ED5D4F"/>
    <w:rsid w:val="00ED682D"/>
    <w:rsid w:val="00ED6979"/>
    <w:rsid w:val="00ED7852"/>
    <w:rsid w:val="00ED79BA"/>
    <w:rsid w:val="00EE0736"/>
    <w:rsid w:val="00EE0882"/>
    <w:rsid w:val="00EE0AA6"/>
    <w:rsid w:val="00EE28BA"/>
    <w:rsid w:val="00EE2B5F"/>
    <w:rsid w:val="00EE2DAE"/>
    <w:rsid w:val="00EE2ECF"/>
    <w:rsid w:val="00EE5152"/>
    <w:rsid w:val="00EE59CA"/>
    <w:rsid w:val="00EE5F46"/>
    <w:rsid w:val="00EE78C2"/>
    <w:rsid w:val="00EE7F87"/>
    <w:rsid w:val="00EF0916"/>
    <w:rsid w:val="00EF0B6D"/>
    <w:rsid w:val="00EF2045"/>
    <w:rsid w:val="00EF2457"/>
    <w:rsid w:val="00EF2D1E"/>
    <w:rsid w:val="00EF35BF"/>
    <w:rsid w:val="00EF3B7C"/>
    <w:rsid w:val="00EF3BD3"/>
    <w:rsid w:val="00EF3F8F"/>
    <w:rsid w:val="00EF418F"/>
    <w:rsid w:val="00EF5358"/>
    <w:rsid w:val="00EF6AAE"/>
    <w:rsid w:val="00EF6BF2"/>
    <w:rsid w:val="00EF7F4A"/>
    <w:rsid w:val="00F00744"/>
    <w:rsid w:val="00F0169E"/>
    <w:rsid w:val="00F02DF6"/>
    <w:rsid w:val="00F038C0"/>
    <w:rsid w:val="00F03C70"/>
    <w:rsid w:val="00F04856"/>
    <w:rsid w:val="00F05131"/>
    <w:rsid w:val="00F0644B"/>
    <w:rsid w:val="00F066E3"/>
    <w:rsid w:val="00F06F82"/>
    <w:rsid w:val="00F070FE"/>
    <w:rsid w:val="00F07142"/>
    <w:rsid w:val="00F07A78"/>
    <w:rsid w:val="00F10F75"/>
    <w:rsid w:val="00F110EA"/>
    <w:rsid w:val="00F11C06"/>
    <w:rsid w:val="00F126B6"/>
    <w:rsid w:val="00F13453"/>
    <w:rsid w:val="00F14392"/>
    <w:rsid w:val="00F14F00"/>
    <w:rsid w:val="00F150AA"/>
    <w:rsid w:val="00F16418"/>
    <w:rsid w:val="00F16660"/>
    <w:rsid w:val="00F17512"/>
    <w:rsid w:val="00F21213"/>
    <w:rsid w:val="00F23095"/>
    <w:rsid w:val="00F23475"/>
    <w:rsid w:val="00F239B3"/>
    <w:rsid w:val="00F24170"/>
    <w:rsid w:val="00F2496F"/>
    <w:rsid w:val="00F2545C"/>
    <w:rsid w:val="00F25823"/>
    <w:rsid w:val="00F25DAA"/>
    <w:rsid w:val="00F274B0"/>
    <w:rsid w:val="00F276C3"/>
    <w:rsid w:val="00F2773C"/>
    <w:rsid w:val="00F31846"/>
    <w:rsid w:val="00F319A6"/>
    <w:rsid w:val="00F319B1"/>
    <w:rsid w:val="00F31B55"/>
    <w:rsid w:val="00F3285E"/>
    <w:rsid w:val="00F32BD8"/>
    <w:rsid w:val="00F32E31"/>
    <w:rsid w:val="00F335E0"/>
    <w:rsid w:val="00F33DB5"/>
    <w:rsid w:val="00F358F7"/>
    <w:rsid w:val="00F37534"/>
    <w:rsid w:val="00F37BAD"/>
    <w:rsid w:val="00F404D6"/>
    <w:rsid w:val="00F417D9"/>
    <w:rsid w:val="00F425FD"/>
    <w:rsid w:val="00F43A63"/>
    <w:rsid w:val="00F441C1"/>
    <w:rsid w:val="00F444C0"/>
    <w:rsid w:val="00F447CC"/>
    <w:rsid w:val="00F44A62"/>
    <w:rsid w:val="00F4574B"/>
    <w:rsid w:val="00F46663"/>
    <w:rsid w:val="00F46A4F"/>
    <w:rsid w:val="00F476DB"/>
    <w:rsid w:val="00F5125B"/>
    <w:rsid w:val="00F5151E"/>
    <w:rsid w:val="00F51AAD"/>
    <w:rsid w:val="00F51F27"/>
    <w:rsid w:val="00F52210"/>
    <w:rsid w:val="00F52653"/>
    <w:rsid w:val="00F52AA2"/>
    <w:rsid w:val="00F52E9C"/>
    <w:rsid w:val="00F53158"/>
    <w:rsid w:val="00F5481A"/>
    <w:rsid w:val="00F55B52"/>
    <w:rsid w:val="00F55C91"/>
    <w:rsid w:val="00F561CD"/>
    <w:rsid w:val="00F562E6"/>
    <w:rsid w:val="00F568AF"/>
    <w:rsid w:val="00F56ACD"/>
    <w:rsid w:val="00F57865"/>
    <w:rsid w:val="00F579A9"/>
    <w:rsid w:val="00F60065"/>
    <w:rsid w:val="00F61E7E"/>
    <w:rsid w:val="00F624A2"/>
    <w:rsid w:val="00F6360B"/>
    <w:rsid w:val="00F63D56"/>
    <w:rsid w:val="00F6411A"/>
    <w:rsid w:val="00F64999"/>
    <w:rsid w:val="00F64DC9"/>
    <w:rsid w:val="00F66BD4"/>
    <w:rsid w:val="00F67210"/>
    <w:rsid w:val="00F674EB"/>
    <w:rsid w:val="00F67919"/>
    <w:rsid w:val="00F67BF7"/>
    <w:rsid w:val="00F7000E"/>
    <w:rsid w:val="00F706F3"/>
    <w:rsid w:val="00F70B98"/>
    <w:rsid w:val="00F714D3"/>
    <w:rsid w:val="00F732EE"/>
    <w:rsid w:val="00F734BB"/>
    <w:rsid w:val="00F7366B"/>
    <w:rsid w:val="00F744CB"/>
    <w:rsid w:val="00F753D7"/>
    <w:rsid w:val="00F7633A"/>
    <w:rsid w:val="00F76A0D"/>
    <w:rsid w:val="00F77066"/>
    <w:rsid w:val="00F77C98"/>
    <w:rsid w:val="00F8088F"/>
    <w:rsid w:val="00F82DE8"/>
    <w:rsid w:val="00F83013"/>
    <w:rsid w:val="00F83830"/>
    <w:rsid w:val="00F84BEA"/>
    <w:rsid w:val="00F85131"/>
    <w:rsid w:val="00F8597E"/>
    <w:rsid w:val="00F862D9"/>
    <w:rsid w:val="00F86436"/>
    <w:rsid w:val="00F864E3"/>
    <w:rsid w:val="00F8682B"/>
    <w:rsid w:val="00F86CFD"/>
    <w:rsid w:val="00F87B0F"/>
    <w:rsid w:val="00F909E7"/>
    <w:rsid w:val="00F90B62"/>
    <w:rsid w:val="00F90F59"/>
    <w:rsid w:val="00F92836"/>
    <w:rsid w:val="00F9313C"/>
    <w:rsid w:val="00F93952"/>
    <w:rsid w:val="00F948F1"/>
    <w:rsid w:val="00F964EA"/>
    <w:rsid w:val="00F9650B"/>
    <w:rsid w:val="00F97535"/>
    <w:rsid w:val="00F979A9"/>
    <w:rsid w:val="00FA00B3"/>
    <w:rsid w:val="00FA0515"/>
    <w:rsid w:val="00FA0B1D"/>
    <w:rsid w:val="00FA15AA"/>
    <w:rsid w:val="00FA2872"/>
    <w:rsid w:val="00FA334A"/>
    <w:rsid w:val="00FA3F63"/>
    <w:rsid w:val="00FA5FE5"/>
    <w:rsid w:val="00FA60D3"/>
    <w:rsid w:val="00FA6AAA"/>
    <w:rsid w:val="00FA7323"/>
    <w:rsid w:val="00FA7767"/>
    <w:rsid w:val="00FB14A8"/>
    <w:rsid w:val="00FB2056"/>
    <w:rsid w:val="00FB21C1"/>
    <w:rsid w:val="00FB2989"/>
    <w:rsid w:val="00FB2E17"/>
    <w:rsid w:val="00FB3614"/>
    <w:rsid w:val="00FB37C7"/>
    <w:rsid w:val="00FB38C9"/>
    <w:rsid w:val="00FB3FDB"/>
    <w:rsid w:val="00FB456C"/>
    <w:rsid w:val="00FB4D76"/>
    <w:rsid w:val="00FB5E0E"/>
    <w:rsid w:val="00FB633F"/>
    <w:rsid w:val="00FC1CEF"/>
    <w:rsid w:val="00FC413E"/>
    <w:rsid w:val="00FC43A6"/>
    <w:rsid w:val="00FC4C24"/>
    <w:rsid w:val="00FC55D8"/>
    <w:rsid w:val="00FC5B32"/>
    <w:rsid w:val="00FC6360"/>
    <w:rsid w:val="00FC71A8"/>
    <w:rsid w:val="00FC750F"/>
    <w:rsid w:val="00FC77DF"/>
    <w:rsid w:val="00FD02E7"/>
    <w:rsid w:val="00FD047A"/>
    <w:rsid w:val="00FD0CDE"/>
    <w:rsid w:val="00FD1341"/>
    <w:rsid w:val="00FD228E"/>
    <w:rsid w:val="00FD285C"/>
    <w:rsid w:val="00FD34A3"/>
    <w:rsid w:val="00FD36BD"/>
    <w:rsid w:val="00FD401C"/>
    <w:rsid w:val="00FD43AB"/>
    <w:rsid w:val="00FD44DC"/>
    <w:rsid w:val="00FD4569"/>
    <w:rsid w:val="00FD52D0"/>
    <w:rsid w:val="00FD550F"/>
    <w:rsid w:val="00FD56E4"/>
    <w:rsid w:val="00FD6255"/>
    <w:rsid w:val="00FD7C58"/>
    <w:rsid w:val="00FE0D2A"/>
    <w:rsid w:val="00FE10ED"/>
    <w:rsid w:val="00FE15BB"/>
    <w:rsid w:val="00FE17FD"/>
    <w:rsid w:val="00FE185D"/>
    <w:rsid w:val="00FE1EED"/>
    <w:rsid w:val="00FE21F1"/>
    <w:rsid w:val="00FE2C56"/>
    <w:rsid w:val="00FE30B3"/>
    <w:rsid w:val="00FE436F"/>
    <w:rsid w:val="00FE5C33"/>
    <w:rsid w:val="00FE760D"/>
    <w:rsid w:val="00FE79B5"/>
    <w:rsid w:val="00FE7C4C"/>
    <w:rsid w:val="00FE7FC9"/>
    <w:rsid w:val="00FF01E8"/>
    <w:rsid w:val="00FF06F1"/>
    <w:rsid w:val="00FF076E"/>
    <w:rsid w:val="00FF0D00"/>
    <w:rsid w:val="00FF1503"/>
    <w:rsid w:val="00FF1AB1"/>
    <w:rsid w:val="00FF256F"/>
    <w:rsid w:val="00FF2B61"/>
    <w:rsid w:val="00FF3982"/>
    <w:rsid w:val="00FF3A34"/>
    <w:rsid w:val="00FF3EE7"/>
    <w:rsid w:val="00FF4E08"/>
    <w:rsid w:val="00FF5FDF"/>
    <w:rsid w:val="00FF7B2C"/>
    <w:rsid w:val="0291C4FB"/>
    <w:rsid w:val="02AFFFC0"/>
    <w:rsid w:val="03FB6188"/>
    <w:rsid w:val="046963CC"/>
    <w:rsid w:val="0472E867"/>
    <w:rsid w:val="05136FF3"/>
    <w:rsid w:val="066743F5"/>
    <w:rsid w:val="06D87A20"/>
    <w:rsid w:val="070354FC"/>
    <w:rsid w:val="0721BFA3"/>
    <w:rsid w:val="0745FB40"/>
    <w:rsid w:val="07618978"/>
    <w:rsid w:val="0841EBF4"/>
    <w:rsid w:val="089C9F6A"/>
    <w:rsid w:val="0A45D775"/>
    <w:rsid w:val="0A795DEB"/>
    <w:rsid w:val="0AB108C0"/>
    <w:rsid w:val="0B00F0E6"/>
    <w:rsid w:val="0B3A6128"/>
    <w:rsid w:val="0BD705A3"/>
    <w:rsid w:val="0C1E17F1"/>
    <w:rsid w:val="0CE3E504"/>
    <w:rsid w:val="0CEC672D"/>
    <w:rsid w:val="0D2E61A7"/>
    <w:rsid w:val="0E46C3C5"/>
    <w:rsid w:val="0E7A14C5"/>
    <w:rsid w:val="0EDA8E23"/>
    <w:rsid w:val="0EE44926"/>
    <w:rsid w:val="10A26404"/>
    <w:rsid w:val="11812FD8"/>
    <w:rsid w:val="128057BA"/>
    <w:rsid w:val="12BF5980"/>
    <w:rsid w:val="12CA8BCA"/>
    <w:rsid w:val="12CBDCCC"/>
    <w:rsid w:val="1486E83C"/>
    <w:rsid w:val="154170E0"/>
    <w:rsid w:val="15B6E3D4"/>
    <w:rsid w:val="161D5B94"/>
    <w:rsid w:val="17015197"/>
    <w:rsid w:val="1781BBD8"/>
    <w:rsid w:val="17D4F847"/>
    <w:rsid w:val="17DBFFA7"/>
    <w:rsid w:val="185224E8"/>
    <w:rsid w:val="195E8E1B"/>
    <w:rsid w:val="1A69FCC4"/>
    <w:rsid w:val="1B8BBC54"/>
    <w:rsid w:val="1BA47C55"/>
    <w:rsid w:val="1C4E8977"/>
    <w:rsid w:val="1C6058F2"/>
    <w:rsid w:val="1DFBBD14"/>
    <w:rsid w:val="1E923B72"/>
    <w:rsid w:val="1EF418E2"/>
    <w:rsid w:val="1F05B124"/>
    <w:rsid w:val="1F4A2DBF"/>
    <w:rsid w:val="1F8568FB"/>
    <w:rsid w:val="2008ADD5"/>
    <w:rsid w:val="203ACECC"/>
    <w:rsid w:val="20BAA685"/>
    <w:rsid w:val="218FB84D"/>
    <w:rsid w:val="22121901"/>
    <w:rsid w:val="2323F615"/>
    <w:rsid w:val="2327E86D"/>
    <w:rsid w:val="2328FA93"/>
    <w:rsid w:val="235C7A8F"/>
    <w:rsid w:val="247A9E81"/>
    <w:rsid w:val="255D13FA"/>
    <w:rsid w:val="25D5F933"/>
    <w:rsid w:val="265278BF"/>
    <w:rsid w:val="26BF4EE4"/>
    <w:rsid w:val="270192A0"/>
    <w:rsid w:val="2736E789"/>
    <w:rsid w:val="274A3266"/>
    <w:rsid w:val="292D84F3"/>
    <w:rsid w:val="2990B1F9"/>
    <w:rsid w:val="2A3A18BC"/>
    <w:rsid w:val="2A5D114C"/>
    <w:rsid w:val="2B23D91B"/>
    <w:rsid w:val="2C1FFE86"/>
    <w:rsid w:val="2C4007C8"/>
    <w:rsid w:val="2C9260FC"/>
    <w:rsid w:val="2D018EFA"/>
    <w:rsid w:val="2E2F5976"/>
    <w:rsid w:val="2E37A68B"/>
    <w:rsid w:val="2E43737A"/>
    <w:rsid w:val="2ED60162"/>
    <w:rsid w:val="2FE840F1"/>
    <w:rsid w:val="31727E2B"/>
    <w:rsid w:val="31744D6C"/>
    <w:rsid w:val="32D37257"/>
    <w:rsid w:val="3446A9E6"/>
    <w:rsid w:val="34B54C62"/>
    <w:rsid w:val="34DB5D01"/>
    <w:rsid w:val="35314627"/>
    <w:rsid w:val="3585694C"/>
    <w:rsid w:val="3601C6C5"/>
    <w:rsid w:val="36521C28"/>
    <w:rsid w:val="3666B77E"/>
    <w:rsid w:val="374A3C30"/>
    <w:rsid w:val="39A9EC78"/>
    <w:rsid w:val="39CA6C67"/>
    <w:rsid w:val="39D16452"/>
    <w:rsid w:val="39D1B46E"/>
    <w:rsid w:val="3A41A566"/>
    <w:rsid w:val="3AA0CE2D"/>
    <w:rsid w:val="3AC7EE2C"/>
    <w:rsid w:val="3B8D76BC"/>
    <w:rsid w:val="3C4562B4"/>
    <w:rsid w:val="3CA16F1E"/>
    <w:rsid w:val="3CB07EA3"/>
    <w:rsid w:val="3D643ED5"/>
    <w:rsid w:val="3E2DF9E9"/>
    <w:rsid w:val="3E5D7E1A"/>
    <w:rsid w:val="3EBB983B"/>
    <w:rsid w:val="3EE5E2A1"/>
    <w:rsid w:val="3FB1EA05"/>
    <w:rsid w:val="401E1326"/>
    <w:rsid w:val="41238930"/>
    <w:rsid w:val="41BB12F7"/>
    <w:rsid w:val="42B6B826"/>
    <w:rsid w:val="43493C85"/>
    <w:rsid w:val="4361E8E4"/>
    <w:rsid w:val="4371718A"/>
    <w:rsid w:val="43C3C314"/>
    <w:rsid w:val="43CC4F51"/>
    <w:rsid w:val="45246346"/>
    <w:rsid w:val="45781626"/>
    <w:rsid w:val="458BC033"/>
    <w:rsid w:val="459CDDFC"/>
    <w:rsid w:val="45CE6B50"/>
    <w:rsid w:val="45F53279"/>
    <w:rsid w:val="469C5792"/>
    <w:rsid w:val="46A1592E"/>
    <w:rsid w:val="46A89608"/>
    <w:rsid w:val="477990C8"/>
    <w:rsid w:val="477B0EDC"/>
    <w:rsid w:val="48060D4D"/>
    <w:rsid w:val="489CDB28"/>
    <w:rsid w:val="48B3CD82"/>
    <w:rsid w:val="4929E34C"/>
    <w:rsid w:val="498F7298"/>
    <w:rsid w:val="4ACBCD61"/>
    <w:rsid w:val="4B50632B"/>
    <w:rsid w:val="4C881048"/>
    <w:rsid w:val="4D8640BB"/>
    <w:rsid w:val="4DDCD4D6"/>
    <w:rsid w:val="4E0DCBFD"/>
    <w:rsid w:val="4F117E68"/>
    <w:rsid w:val="4F8E38FA"/>
    <w:rsid w:val="4F9B0933"/>
    <w:rsid w:val="4FE1EBF7"/>
    <w:rsid w:val="506197F4"/>
    <w:rsid w:val="51438E79"/>
    <w:rsid w:val="51D1C067"/>
    <w:rsid w:val="520A6336"/>
    <w:rsid w:val="523C8752"/>
    <w:rsid w:val="525A937E"/>
    <w:rsid w:val="531CE113"/>
    <w:rsid w:val="53D9217B"/>
    <w:rsid w:val="5437C7C6"/>
    <w:rsid w:val="5533F464"/>
    <w:rsid w:val="55351A17"/>
    <w:rsid w:val="56923563"/>
    <w:rsid w:val="56DE91FE"/>
    <w:rsid w:val="5784E56D"/>
    <w:rsid w:val="580A8532"/>
    <w:rsid w:val="58A89868"/>
    <w:rsid w:val="59E1745E"/>
    <w:rsid w:val="5A2F414F"/>
    <w:rsid w:val="5B2114AE"/>
    <w:rsid w:val="5C200C09"/>
    <w:rsid w:val="5D1A5799"/>
    <w:rsid w:val="5D3847EC"/>
    <w:rsid w:val="5D66ED8E"/>
    <w:rsid w:val="5DA2B3B3"/>
    <w:rsid w:val="5E2D3FFC"/>
    <w:rsid w:val="5E646031"/>
    <w:rsid w:val="5EC59B5D"/>
    <w:rsid w:val="5EF1EB39"/>
    <w:rsid w:val="5F2FC202"/>
    <w:rsid w:val="5F361F6F"/>
    <w:rsid w:val="5FF46BEB"/>
    <w:rsid w:val="6078A0DA"/>
    <w:rsid w:val="613566D9"/>
    <w:rsid w:val="61C16A3A"/>
    <w:rsid w:val="626281E1"/>
    <w:rsid w:val="63F91AEC"/>
    <w:rsid w:val="641ACB35"/>
    <w:rsid w:val="657BE0AF"/>
    <w:rsid w:val="65E43427"/>
    <w:rsid w:val="66183AEB"/>
    <w:rsid w:val="67EA485C"/>
    <w:rsid w:val="68038973"/>
    <w:rsid w:val="685DBFAB"/>
    <w:rsid w:val="699451AC"/>
    <w:rsid w:val="699A0AA2"/>
    <w:rsid w:val="69AFF6DB"/>
    <w:rsid w:val="69FBBFEB"/>
    <w:rsid w:val="6A34FA94"/>
    <w:rsid w:val="6B89A70B"/>
    <w:rsid w:val="6BAC48AB"/>
    <w:rsid w:val="6C3A71C0"/>
    <w:rsid w:val="6CAF6B41"/>
    <w:rsid w:val="6D7AD66C"/>
    <w:rsid w:val="6D88B70A"/>
    <w:rsid w:val="6EE64097"/>
    <w:rsid w:val="6EFA8DB8"/>
    <w:rsid w:val="6F001123"/>
    <w:rsid w:val="6F58AF7E"/>
    <w:rsid w:val="6F860B88"/>
    <w:rsid w:val="6F9F4F90"/>
    <w:rsid w:val="70845160"/>
    <w:rsid w:val="73A3F2B0"/>
    <w:rsid w:val="73E34F02"/>
    <w:rsid w:val="758BBBDB"/>
    <w:rsid w:val="7633DFE5"/>
    <w:rsid w:val="76B6E15E"/>
    <w:rsid w:val="7704C90E"/>
    <w:rsid w:val="770FD752"/>
    <w:rsid w:val="777D8B31"/>
    <w:rsid w:val="7882BB70"/>
    <w:rsid w:val="78E50BBC"/>
    <w:rsid w:val="79131301"/>
    <w:rsid w:val="7922E2CE"/>
    <w:rsid w:val="7ACFE9DE"/>
    <w:rsid w:val="7AD2CA92"/>
    <w:rsid w:val="7B17E743"/>
    <w:rsid w:val="7B322752"/>
    <w:rsid w:val="7BA45890"/>
    <w:rsid w:val="7C50D516"/>
    <w:rsid w:val="7CD17B3B"/>
    <w:rsid w:val="7CFEADF6"/>
    <w:rsid w:val="7D916F12"/>
    <w:rsid w:val="7E75C2D4"/>
    <w:rsid w:val="7EB7298E"/>
    <w:rsid w:val="7F187638"/>
    <w:rsid w:val="7FA5BD09"/>
    <w:rsid w:val="7FC73F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61C8"/>
  <w15:chartTrackingRefBased/>
  <w15:docId w15:val="{3DEDDE06-0384-430B-A9D4-AD8922F7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F56"/>
    <w:pPr>
      <w:keepNext/>
      <w:keepLines/>
      <w:spacing w:before="480" w:line="276" w:lineRule="auto"/>
      <w:outlineLvl w:val="0"/>
    </w:pPr>
    <w:rPr>
      <w:rFonts w:asciiTheme="majorHAnsi" w:eastAsiaTheme="majorEastAsia" w:hAnsiTheme="majorHAnsi" w:cstheme="majorBidi"/>
      <w:b/>
      <w:bCs/>
      <w:color w:val="00437F"/>
      <w:sz w:val="36"/>
      <w:szCs w:val="28"/>
      <w:lang w:val="en-GB"/>
    </w:rPr>
  </w:style>
  <w:style w:type="paragraph" w:styleId="Heading2">
    <w:name w:val="heading 2"/>
    <w:basedOn w:val="Normal"/>
    <w:next w:val="Normal"/>
    <w:link w:val="Heading2Char"/>
    <w:uiPriority w:val="9"/>
    <w:unhideWhenUsed/>
    <w:qFormat/>
    <w:rsid w:val="00F239B3"/>
    <w:pPr>
      <w:keepNext/>
      <w:keepLines/>
      <w:spacing w:before="200" w:line="276" w:lineRule="auto"/>
      <w:outlineLvl w:val="1"/>
    </w:pPr>
    <w:rPr>
      <w:rFonts w:asciiTheme="majorHAnsi" w:eastAsiaTheme="majorEastAsia" w:hAnsiTheme="majorHAnsi" w:cstheme="majorBidi"/>
      <w:b/>
      <w:bCs/>
      <w:color w:val="00437F"/>
      <w:sz w:val="32"/>
      <w:szCs w:val="26"/>
      <w:lang w:val="en-GB"/>
    </w:rPr>
  </w:style>
  <w:style w:type="paragraph" w:styleId="Heading3">
    <w:name w:val="heading 3"/>
    <w:basedOn w:val="Normal"/>
    <w:next w:val="Normal"/>
    <w:link w:val="Heading3Char"/>
    <w:uiPriority w:val="9"/>
    <w:unhideWhenUsed/>
    <w:qFormat/>
    <w:rsid w:val="0030356F"/>
    <w:pPr>
      <w:keepNext/>
      <w:keepLines/>
      <w:spacing w:before="200" w:line="276" w:lineRule="auto"/>
      <w:outlineLvl w:val="2"/>
    </w:pPr>
    <w:rPr>
      <w:rFonts w:asciiTheme="majorHAnsi" w:eastAsiaTheme="majorEastAsia" w:hAnsiTheme="majorHAnsi" w:cstheme="majorBidi"/>
      <w:b/>
      <w:bCs/>
      <w:color w:val="1CADE4" w:themeColor="accent1"/>
      <w:sz w:val="22"/>
      <w:szCs w:val="22"/>
      <w:lang w:val="en-GB"/>
    </w:rPr>
  </w:style>
  <w:style w:type="paragraph" w:styleId="Heading4">
    <w:name w:val="heading 4"/>
    <w:basedOn w:val="Normal"/>
    <w:next w:val="Normal"/>
    <w:link w:val="Heading4Char"/>
    <w:uiPriority w:val="9"/>
    <w:semiHidden/>
    <w:unhideWhenUsed/>
    <w:qFormat/>
    <w:rsid w:val="0030356F"/>
    <w:pPr>
      <w:keepNext/>
      <w:keepLines/>
      <w:spacing w:before="200" w:line="276" w:lineRule="auto"/>
      <w:outlineLvl w:val="3"/>
    </w:pPr>
    <w:rPr>
      <w:rFonts w:asciiTheme="majorHAnsi" w:eastAsiaTheme="majorEastAsia" w:hAnsiTheme="majorHAnsi" w:cstheme="majorBidi"/>
      <w:b/>
      <w:bCs/>
      <w:i/>
      <w:iCs/>
      <w:color w:val="1CADE4" w:themeColor="accent1"/>
      <w:sz w:val="22"/>
      <w:szCs w:val="22"/>
      <w:lang w:val="en-GB"/>
    </w:rPr>
  </w:style>
  <w:style w:type="paragraph" w:styleId="Heading5">
    <w:name w:val="heading 5"/>
    <w:basedOn w:val="Normal"/>
    <w:next w:val="Normal"/>
    <w:link w:val="Heading5Char"/>
    <w:uiPriority w:val="9"/>
    <w:semiHidden/>
    <w:unhideWhenUsed/>
    <w:qFormat/>
    <w:rsid w:val="0030356F"/>
    <w:pPr>
      <w:keepNext/>
      <w:keepLines/>
      <w:spacing w:before="20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rsid w:val="0030356F"/>
    <w:pPr>
      <w:keepNext/>
      <w:keepLines/>
      <w:spacing w:before="20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rsid w:val="003035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56F"/>
    <w:pPr>
      <w:keepNext/>
      <w:keepLines/>
      <w:spacing w:before="20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3035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E5"/>
    <w:pPr>
      <w:tabs>
        <w:tab w:val="center" w:pos="4153"/>
        <w:tab w:val="right" w:pos="830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2226E5"/>
  </w:style>
  <w:style w:type="paragraph" w:styleId="Footer">
    <w:name w:val="footer"/>
    <w:link w:val="FooterChar"/>
    <w:uiPriority w:val="99"/>
    <w:unhideWhenUsed/>
    <w:rsid w:val="00F239B3"/>
    <w:pPr>
      <w:tabs>
        <w:tab w:val="center" w:pos="4153"/>
        <w:tab w:val="right" w:pos="8306"/>
      </w:tabs>
      <w:spacing w:before="120" w:after="120" w:line="240" w:lineRule="auto"/>
    </w:pPr>
    <w:rPr>
      <w:rFonts w:ascii="Arial" w:hAnsi="Arial"/>
      <w:sz w:val="15"/>
    </w:rPr>
  </w:style>
  <w:style w:type="character" w:customStyle="1" w:styleId="FooterChar">
    <w:name w:val="Footer Char"/>
    <w:basedOn w:val="DefaultParagraphFont"/>
    <w:link w:val="Footer"/>
    <w:uiPriority w:val="99"/>
    <w:rsid w:val="00F239B3"/>
    <w:rPr>
      <w:rFonts w:ascii="Arial" w:hAnsi="Arial"/>
      <w:sz w:val="15"/>
    </w:rPr>
  </w:style>
  <w:style w:type="character" w:styleId="Hyperlink">
    <w:name w:val="Hyperlink"/>
    <w:uiPriority w:val="99"/>
    <w:unhideWhenUsed/>
    <w:rsid w:val="00A1775E"/>
    <w:rPr>
      <w:rFonts w:ascii="Arial" w:hAnsi="Arial"/>
      <w:color w:val="00437F"/>
      <w:u w:val="none"/>
    </w:rPr>
  </w:style>
  <w:style w:type="paragraph" w:styleId="ListParagraph">
    <w:name w:val="List Paragraph"/>
    <w:basedOn w:val="Normal"/>
    <w:uiPriority w:val="34"/>
    <w:qFormat/>
    <w:rsid w:val="0030356F"/>
    <w:pPr>
      <w:spacing w:after="200" w:line="276" w:lineRule="auto"/>
      <w:ind w:left="720"/>
      <w:contextualSpacing/>
    </w:pPr>
    <w:rPr>
      <w:rFonts w:asciiTheme="minorHAnsi" w:eastAsiaTheme="minorEastAsia" w:hAnsiTheme="minorHAnsi" w:cstheme="minorBidi"/>
      <w:sz w:val="22"/>
      <w:szCs w:val="22"/>
      <w:lang w:val="en-GB"/>
    </w:rPr>
  </w:style>
  <w:style w:type="paragraph" w:styleId="NormalWeb">
    <w:name w:val="Normal (Web)"/>
    <w:basedOn w:val="Normal"/>
    <w:uiPriority w:val="99"/>
    <w:unhideWhenUsed/>
    <w:rsid w:val="005F65A7"/>
    <w:pPr>
      <w:spacing w:before="100" w:beforeAutospacing="1" w:after="100" w:afterAutospacing="1"/>
    </w:pPr>
    <w:rPr>
      <w:lang w:val="el-GR" w:eastAsia="el-GR"/>
    </w:rPr>
  </w:style>
  <w:style w:type="paragraph" w:styleId="NoSpacing">
    <w:name w:val="No Spacing"/>
    <w:link w:val="NoSpacingChar"/>
    <w:uiPriority w:val="1"/>
    <w:qFormat/>
    <w:rsid w:val="0030356F"/>
    <w:pPr>
      <w:spacing w:after="0" w:line="240" w:lineRule="auto"/>
    </w:pPr>
  </w:style>
  <w:style w:type="character" w:customStyle="1" w:styleId="Heading1Char">
    <w:name w:val="Heading 1 Char"/>
    <w:basedOn w:val="DefaultParagraphFont"/>
    <w:link w:val="Heading1"/>
    <w:uiPriority w:val="9"/>
    <w:rsid w:val="00B77F56"/>
    <w:rPr>
      <w:rFonts w:asciiTheme="majorHAnsi" w:eastAsiaTheme="majorEastAsia" w:hAnsiTheme="majorHAnsi" w:cstheme="majorBidi"/>
      <w:b/>
      <w:bCs/>
      <w:color w:val="00437F"/>
      <w:sz w:val="36"/>
      <w:szCs w:val="28"/>
    </w:rPr>
  </w:style>
  <w:style w:type="character" w:customStyle="1" w:styleId="Heading2Char">
    <w:name w:val="Heading 2 Char"/>
    <w:basedOn w:val="DefaultParagraphFont"/>
    <w:link w:val="Heading2"/>
    <w:uiPriority w:val="9"/>
    <w:rsid w:val="00F239B3"/>
    <w:rPr>
      <w:rFonts w:asciiTheme="majorHAnsi" w:eastAsiaTheme="majorEastAsia" w:hAnsiTheme="majorHAnsi" w:cstheme="majorBidi"/>
      <w:b/>
      <w:bCs/>
      <w:color w:val="00437F"/>
      <w:sz w:val="32"/>
      <w:szCs w:val="26"/>
    </w:rPr>
  </w:style>
  <w:style w:type="character" w:customStyle="1" w:styleId="Heading3Char">
    <w:name w:val="Heading 3 Char"/>
    <w:basedOn w:val="DefaultParagraphFont"/>
    <w:link w:val="Heading3"/>
    <w:uiPriority w:val="9"/>
    <w:rsid w:val="0030356F"/>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semiHidden/>
    <w:rsid w:val="0030356F"/>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30356F"/>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semiHidden/>
    <w:rsid w:val="0030356F"/>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semiHidden/>
    <w:rsid w:val="003035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56F"/>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3035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356F"/>
    <w:rPr>
      <w:b/>
      <w:bCs/>
      <w:color w:val="1CADE4" w:themeColor="accent1"/>
      <w:sz w:val="18"/>
      <w:szCs w:val="18"/>
    </w:rPr>
  </w:style>
  <w:style w:type="paragraph" w:styleId="Title">
    <w:name w:val="Title"/>
    <w:basedOn w:val="Normal"/>
    <w:next w:val="Normal"/>
    <w:link w:val="TitleChar"/>
    <w:uiPriority w:val="10"/>
    <w:qFormat/>
    <w:rsid w:val="00F239B3"/>
    <w:pPr>
      <w:pBdr>
        <w:bottom w:val="single" w:sz="8" w:space="4" w:color="1CADE4" w:themeColor="accent1"/>
      </w:pBdr>
      <w:spacing w:after="300" w:line="360" w:lineRule="auto"/>
      <w:contextualSpacing/>
    </w:pPr>
    <w:rPr>
      <w:rFonts w:asciiTheme="majorHAnsi" w:eastAsiaTheme="majorEastAsia" w:hAnsiTheme="majorHAnsi" w:cstheme="majorBidi"/>
      <w:color w:val="264356" w:themeColor="text2" w:themeShade="BF"/>
      <w:spacing w:val="5"/>
      <w:kern w:val="28"/>
      <w:sz w:val="52"/>
      <w:szCs w:val="52"/>
      <w:lang w:val="en-GB"/>
    </w:rPr>
  </w:style>
  <w:style w:type="character" w:customStyle="1" w:styleId="TitleChar">
    <w:name w:val="Title Char"/>
    <w:basedOn w:val="DefaultParagraphFont"/>
    <w:link w:val="Title"/>
    <w:uiPriority w:val="10"/>
    <w:rsid w:val="00F239B3"/>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sid w:val="0030356F"/>
    <w:pPr>
      <w:numPr>
        <w:ilvl w:val="1"/>
      </w:numPr>
      <w:spacing w:after="200" w:line="276" w:lineRule="auto"/>
    </w:pPr>
    <w:rPr>
      <w:rFonts w:asciiTheme="majorHAnsi" w:eastAsiaTheme="majorEastAsia" w:hAnsiTheme="majorHAnsi" w:cstheme="majorBidi"/>
      <w:i/>
      <w:iCs/>
      <w:color w:val="1CADE4" w:themeColor="accent1"/>
      <w:spacing w:val="15"/>
      <w:lang w:val="en-GB"/>
    </w:rPr>
  </w:style>
  <w:style w:type="character" w:customStyle="1" w:styleId="SubtitleChar">
    <w:name w:val="Subtitle Char"/>
    <w:basedOn w:val="DefaultParagraphFont"/>
    <w:link w:val="Subtitle"/>
    <w:uiPriority w:val="11"/>
    <w:rsid w:val="0030356F"/>
    <w:rPr>
      <w:rFonts w:asciiTheme="majorHAnsi" w:eastAsiaTheme="majorEastAsia" w:hAnsiTheme="majorHAnsi" w:cstheme="majorBidi"/>
      <w:i/>
      <w:iCs/>
      <w:color w:val="1CADE4" w:themeColor="accent1"/>
      <w:spacing w:val="15"/>
      <w:sz w:val="24"/>
      <w:szCs w:val="24"/>
    </w:rPr>
  </w:style>
  <w:style w:type="character" w:styleId="Strong">
    <w:name w:val="Strong"/>
    <w:basedOn w:val="DefaultParagraphFont"/>
    <w:uiPriority w:val="22"/>
    <w:qFormat/>
    <w:rsid w:val="0030356F"/>
    <w:rPr>
      <w:b/>
      <w:bCs/>
    </w:rPr>
  </w:style>
  <w:style w:type="character" w:styleId="Emphasis">
    <w:name w:val="Emphasis"/>
    <w:basedOn w:val="DefaultParagraphFont"/>
    <w:uiPriority w:val="20"/>
    <w:qFormat/>
    <w:rsid w:val="0030356F"/>
    <w:rPr>
      <w:i/>
      <w:iCs/>
    </w:rPr>
  </w:style>
  <w:style w:type="character" w:customStyle="1" w:styleId="NoSpacingChar">
    <w:name w:val="No Spacing Char"/>
    <w:basedOn w:val="DefaultParagraphFont"/>
    <w:link w:val="NoSpacing"/>
    <w:uiPriority w:val="1"/>
    <w:rsid w:val="0030356F"/>
  </w:style>
  <w:style w:type="paragraph" w:styleId="Quote">
    <w:name w:val="Quote"/>
    <w:basedOn w:val="Normal"/>
    <w:next w:val="Normal"/>
    <w:link w:val="QuoteChar"/>
    <w:uiPriority w:val="29"/>
    <w:qFormat/>
    <w:rsid w:val="0030356F"/>
    <w:pPr>
      <w:spacing w:after="200" w:line="276" w:lineRule="auto"/>
    </w:pPr>
    <w:rPr>
      <w:rFonts w:asciiTheme="minorHAnsi" w:eastAsiaTheme="minorEastAsia"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30356F"/>
    <w:rPr>
      <w:i/>
      <w:iCs/>
      <w:color w:val="000000" w:themeColor="text1"/>
    </w:rPr>
  </w:style>
  <w:style w:type="paragraph" w:styleId="IntenseQuote">
    <w:name w:val="Intense Quote"/>
    <w:basedOn w:val="Normal"/>
    <w:next w:val="Normal"/>
    <w:link w:val="IntenseQuoteChar"/>
    <w:uiPriority w:val="30"/>
    <w:qFormat/>
    <w:rsid w:val="0030356F"/>
    <w:pPr>
      <w:pBdr>
        <w:bottom w:val="single" w:sz="4" w:space="4" w:color="1CADE4" w:themeColor="accent1"/>
      </w:pBdr>
      <w:spacing w:before="200" w:after="280" w:line="276" w:lineRule="auto"/>
      <w:ind w:left="936" w:right="936"/>
    </w:pPr>
    <w:rPr>
      <w:rFonts w:asciiTheme="minorHAnsi" w:eastAsiaTheme="minorEastAsia" w:hAnsiTheme="minorHAnsi" w:cstheme="minorBidi"/>
      <w:b/>
      <w:bCs/>
      <w:i/>
      <w:iCs/>
      <w:color w:val="1CADE4" w:themeColor="accent1"/>
      <w:sz w:val="22"/>
      <w:szCs w:val="22"/>
      <w:lang w:val="en-GB"/>
    </w:rPr>
  </w:style>
  <w:style w:type="character" w:customStyle="1" w:styleId="IntenseQuoteChar">
    <w:name w:val="Intense Quote Char"/>
    <w:basedOn w:val="DefaultParagraphFont"/>
    <w:link w:val="IntenseQuote"/>
    <w:uiPriority w:val="30"/>
    <w:rsid w:val="0030356F"/>
    <w:rPr>
      <w:b/>
      <w:bCs/>
      <w:i/>
      <w:iCs/>
      <w:color w:val="1CADE4" w:themeColor="accent1"/>
    </w:rPr>
  </w:style>
  <w:style w:type="character" w:styleId="SubtleEmphasis">
    <w:name w:val="Subtle Emphasis"/>
    <w:basedOn w:val="DefaultParagraphFont"/>
    <w:uiPriority w:val="19"/>
    <w:qFormat/>
    <w:rsid w:val="0030356F"/>
    <w:rPr>
      <w:i/>
      <w:iCs/>
      <w:color w:val="808080" w:themeColor="text1" w:themeTint="7F"/>
    </w:rPr>
  </w:style>
  <w:style w:type="character" w:styleId="IntenseEmphasis">
    <w:name w:val="Intense Emphasis"/>
    <w:basedOn w:val="DefaultParagraphFont"/>
    <w:uiPriority w:val="21"/>
    <w:qFormat/>
    <w:rsid w:val="0030356F"/>
    <w:rPr>
      <w:b/>
      <w:bCs/>
      <w:i/>
      <w:iCs/>
      <w:color w:val="1CADE4" w:themeColor="accent1"/>
    </w:rPr>
  </w:style>
  <w:style w:type="character" w:styleId="SubtleReference">
    <w:name w:val="Subtle Reference"/>
    <w:basedOn w:val="DefaultParagraphFont"/>
    <w:uiPriority w:val="31"/>
    <w:qFormat/>
    <w:rsid w:val="0030356F"/>
    <w:rPr>
      <w:smallCaps/>
      <w:color w:val="2683C6" w:themeColor="accent2"/>
      <w:u w:val="single"/>
    </w:rPr>
  </w:style>
  <w:style w:type="character" w:styleId="IntenseReference">
    <w:name w:val="Intense Reference"/>
    <w:basedOn w:val="DefaultParagraphFont"/>
    <w:uiPriority w:val="32"/>
    <w:qFormat/>
    <w:rsid w:val="0030356F"/>
    <w:rPr>
      <w:b/>
      <w:bCs/>
      <w:smallCaps/>
      <w:color w:val="2683C6" w:themeColor="accent2"/>
      <w:spacing w:val="5"/>
      <w:u w:val="single"/>
    </w:rPr>
  </w:style>
  <w:style w:type="character" w:styleId="BookTitle">
    <w:name w:val="Book Title"/>
    <w:basedOn w:val="DefaultParagraphFont"/>
    <w:uiPriority w:val="33"/>
    <w:qFormat/>
    <w:rsid w:val="0030356F"/>
    <w:rPr>
      <w:b/>
      <w:bCs/>
      <w:smallCaps/>
      <w:spacing w:val="5"/>
    </w:rPr>
  </w:style>
  <w:style w:type="paragraph" w:styleId="TOCHeading">
    <w:name w:val="TOC Heading"/>
    <w:basedOn w:val="Heading1"/>
    <w:next w:val="Normal"/>
    <w:uiPriority w:val="39"/>
    <w:semiHidden/>
    <w:unhideWhenUsed/>
    <w:qFormat/>
    <w:rsid w:val="0030356F"/>
    <w:pPr>
      <w:outlineLvl w:val="9"/>
    </w:pPr>
  </w:style>
  <w:style w:type="paragraph" w:customStyle="1" w:styleId="PersonalName">
    <w:name w:val="Personal Name"/>
    <w:basedOn w:val="Title"/>
    <w:rsid w:val="0030356F"/>
    <w:rPr>
      <w:b/>
      <w:caps/>
      <w:color w:val="000000"/>
      <w:sz w:val="28"/>
      <w:szCs w:val="28"/>
    </w:rPr>
  </w:style>
  <w:style w:type="character" w:styleId="FollowedHyperlink">
    <w:name w:val="FollowedHyperlink"/>
    <w:basedOn w:val="DefaultParagraphFont"/>
    <w:uiPriority w:val="99"/>
    <w:semiHidden/>
    <w:unhideWhenUsed/>
    <w:rsid w:val="00EB2946"/>
    <w:rPr>
      <w:color w:val="B26B02" w:themeColor="followedHyperlink"/>
      <w:u w:val="single"/>
    </w:rPr>
  </w:style>
  <w:style w:type="paragraph" w:customStyle="1" w:styleId="A">
    <w:name w:val="A"/>
    <w:basedOn w:val="Normal"/>
    <w:qFormat/>
    <w:rsid w:val="00A50AB5"/>
    <w:pPr>
      <w:spacing w:after="200"/>
    </w:pPr>
    <w:rPr>
      <w:rFonts w:ascii="Calibri Light" w:eastAsiaTheme="minorEastAsia" w:hAnsi="Calibri Light" w:cstheme="minorBidi"/>
      <w:color w:val="00183D"/>
      <w:sz w:val="36"/>
      <w:szCs w:val="28"/>
      <w:lang w:val="en-GB"/>
    </w:rPr>
  </w:style>
  <w:style w:type="character" w:customStyle="1" w:styleId="UnresolvedMention1">
    <w:name w:val="Unresolved Mention1"/>
    <w:basedOn w:val="DefaultParagraphFont"/>
    <w:uiPriority w:val="99"/>
    <w:semiHidden/>
    <w:unhideWhenUsed/>
    <w:rsid w:val="00304561"/>
    <w:rPr>
      <w:color w:val="605E5C"/>
      <w:shd w:val="clear" w:color="auto" w:fill="E1DFDD"/>
    </w:rPr>
  </w:style>
  <w:style w:type="paragraph" w:customStyle="1" w:styleId="B">
    <w:name w:val="B"/>
    <w:qFormat/>
    <w:rsid w:val="00A765DA"/>
    <w:rPr>
      <w:rFonts w:ascii="Arial" w:hAnsi="Arial"/>
      <w:color w:val="00437F"/>
      <w:sz w:val="24"/>
      <w:szCs w:val="20"/>
    </w:rPr>
  </w:style>
  <w:style w:type="paragraph" w:customStyle="1" w:styleId="Copy">
    <w:name w:val="Copy"/>
    <w:basedOn w:val="Normal"/>
    <w:qFormat/>
    <w:rsid w:val="00A50AB5"/>
    <w:pPr>
      <w:spacing w:after="200"/>
    </w:pPr>
    <w:rPr>
      <w:rFonts w:ascii="Calibri Light" w:eastAsiaTheme="minorEastAsia" w:hAnsi="Calibri Light" w:cs="Arial"/>
      <w:color w:val="00183D"/>
      <w:sz w:val="21"/>
      <w:szCs w:val="20"/>
      <w:lang w:val="en-GB"/>
    </w:rPr>
  </w:style>
  <w:style w:type="paragraph" w:customStyle="1" w:styleId="Copy-bullets">
    <w:name w:val="Copy - bullets"/>
    <w:basedOn w:val="Copy"/>
    <w:qFormat/>
    <w:rsid w:val="0029079A"/>
    <w:pPr>
      <w:numPr>
        <w:numId w:val="13"/>
      </w:numPr>
    </w:pPr>
  </w:style>
  <w:style w:type="paragraph" w:customStyle="1" w:styleId="C">
    <w:name w:val="C"/>
    <w:basedOn w:val="B"/>
    <w:uiPriority w:val="99"/>
    <w:qFormat/>
    <w:rsid w:val="00A50AB5"/>
    <w:rPr>
      <w:rFonts w:ascii="Calibri" w:hAnsi="Calibri" w:cs="Arial"/>
      <w:b/>
      <w:bCs/>
      <w:color w:val="00183D"/>
      <w:sz w:val="28"/>
      <w:szCs w:val="24"/>
    </w:rPr>
  </w:style>
  <w:style w:type="paragraph" w:customStyle="1" w:styleId="quoteitalics">
    <w:name w:val="quote italics"/>
    <w:basedOn w:val="Copy"/>
    <w:qFormat/>
    <w:rsid w:val="005A5E31"/>
    <w:pPr>
      <w:spacing w:line="276" w:lineRule="auto"/>
    </w:pPr>
    <w:rPr>
      <w:i/>
      <w:iCs/>
      <w:color w:val="00437F"/>
    </w:rPr>
  </w:style>
  <w:style w:type="paragraph" w:customStyle="1" w:styleId="Quote-name">
    <w:name w:val="Quote - name"/>
    <w:basedOn w:val="Copy"/>
    <w:qFormat/>
    <w:rsid w:val="005A5E31"/>
    <w:rPr>
      <w:color w:val="00437F"/>
    </w:rPr>
  </w:style>
  <w:style w:type="paragraph" w:customStyle="1" w:styleId="copysmall">
    <w:name w:val="copy small"/>
    <w:basedOn w:val="Copy"/>
    <w:qFormat/>
    <w:rsid w:val="00564325"/>
    <w:pPr>
      <w:spacing w:line="288" w:lineRule="auto"/>
    </w:pPr>
    <w:rPr>
      <w:rFonts w:eastAsia="Arial"/>
      <w:color w:val="65757D" w:themeColor="background2" w:themeShade="80"/>
      <w:sz w:val="16"/>
      <w:szCs w:val="16"/>
      <w:shd w:val="clear" w:color="auto" w:fill="FFFFFF"/>
      <w:lang w:val="en-US"/>
    </w:rPr>
  </w:style>
  <w:style w:type="table" w:styleId="GridTable1Light-Accent1">
    <w:name w:val="Grid Table 1 Light Accent 1"/>
    <w:basedOn w:val="TableNormal"/>
    <w:uiPriority w:val="46"/>
    <w:rsid w:val="002238C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2238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7Colorful-Accent3">
    <w:name w:val="Grid Table 7 Colorful Accent 3"/>
    <w:basedOn w:val="TableNormal"/>
    <w:uiPriority w:val="52"/>
    <w:rsid w:val="002238C1"/>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leGrid">
    <w:name w:val="Table Grid"/>
    <w:basedOn w:val="TableNormal"/>
    <w:uiPriority w:val="39"/>
    <w:rsid w:val="002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238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38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77599"/>
    <w:rPr>
      <w:sz w:val="18"/>
      <w:szCs w:val="18"/>
    </w:rPr>
  </w:style>
  <w:style w:type="character" w:customStyle="1" w:styleId="BalloonTextChar">
    <w:name w:val="Balloon Text Char"/>
    <w:basedOn w:val="DefaultParagraphFont"/>
    <w:link w:val="BalloonText"/>
    <w:uiPriority w:val="99"/>
    <w:semiHidden/>
    <w:rsid w:val="00777599"/>
    <w:rPr>
      <w:rFonts w:ascii="Times New Roman" w:hAnsi="Times New Roman" w:cs="Times New Roman"/>
      <w:sz w:val="18"/>
      <w:szCs w:val="18"/>
    </w:rPr>
  </w:style>
  <w:style w:type="character" w:styleId="PageNumber">
    <w:name w:val="page number"/>
    <w:basedOn w:val="DefaultParagraphFont"/>
    <w:uiPriority w:val="99"/>
    <w:semiHidden/>
    <w:unhideWhenUsed/>
    <w:rsid w:val="00903110"/>
  </w:style>
  <w:style w:type="paragraph" w:customStyle="1" w:styleId="Style1">
    <w:name w:val="Style1"/>
    <w:basedOn w:val="Header"/>
    <w:qFormat/>
    <w:rsid w:val="00257501"/>
    <w:pPr>
      <w:framePr w:w="2556" w:wrap="none" w:vAnchor="text" w:hAnchor="page" w:x="9229" w:y="1623"/>
      <w:spacing w:line="360" w:lineRule="auto"/>
    </w:pPr>
    <w:rPr>
      <w:rFonts w:ascii="Calibri" w:hAnsi="Calibri" w:cs="Arial"/>
      <w:color w:val="000000" w:themeColor="text1"/>
      <w:sz w:val="16"/>
      <w:szCs w:val="16"/>
      <w14:textFill>
        <w14:solidFill>
          <w14:schemeClr w14:val="tx1">
            <w14:lumMod w14:val="65000"/>
            <w14:lumOff w14:val="35000"/>
            <w14:lumMod w14:val="65000"/>
            <w14:lumOff w14:val="35000"/>
          </w14:schemeClr>
        </w14:solidFill>
      </w14:textFill>
    </w:rPr>
  </w:style>
  <w:style w:type="table" w:styleId="PlainTable5">
    <w:name w:val="Plain Table 5"/>
    <w:basedOn w:val="TableNormal"/>
    <w:uiPriority w:val="45"/>
    <w:rsid w:val="005F51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5F5128"/>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796FE1"/>
    <w:pPr>
      <w:spacing w:after="0" w:line="240" w:lineRule="auto"/>
    </w:pPr>
    <w:rPr>
      <w:rFonts w:ascii="Times New Roman" w:eastAsia="Times New Roman" w:hAnsi="Times New Roman" w:cs="Times New Roman"/>
      <w:sz w:val="24"/>
      <w:szCs w:val="24"/>
      <w:lang w:val="en-US"/>
    </w:rPr>
  </w:style>
  <w:style w:type="paragraph" w:customStyle="1" w:styleId="Level2heading">
    <w:name w:val="Level 2 heading"/>
    <w:basedOn w:val="Heading3"/>
    <w:link w:val="Level2headingChar"/>
    <w:qFormat/>
    <w:rsid w:val="00706032"/>
    <w:pPr>
      <w:keepLines w:val="0"/>
      <w:spacing w:before="0" w:after="120" w:line="288" w:lineRule="auto"/>
    </w:pPr>
    <w:rPr>
      <w:rFonts w:ascii="Arial" w:eastAsiaTheme="minorHAnsi" w:hAnsi="Arial" w:cs="Arial"/>
      <w:color w:val="000000" w:themeColor="text1"/>
      <w:sz w:val="24"/>
      <w:szCs w:val="24"/>
      <w:lang w:eastAsia="en-GB"/>
    </w:rPr>
  </w:style>
  <w:style w:type="character" w:customStyle="1" w:styleId="Level2headingChar">
    <w:name w:val="Level 2 heading Char"/>
    <w:basedOn w:val="DefaultParagraphFont"/>
    <w:link w:val="Level2heading"/>
    <w:rsid w:val="00706032"/>
    <w:rPr>
      <w:rFonts w:ascii="Arial" w:eastAsiaTheme="minorHAnsi" w:hAnsi="Arial" w:cs="Arial"/>
      <w:b/>
      <w:bCs/>
      <w:color w:val="000000" w:themeColor="text1"/>
      <w:sz w:val="24"/>
      <w:szCs w:val="24"/>
      <w:lang w:eastAsia="en-GB"/>
    </w:rPr>
  </w:style>
  <w:style w:type="paragraph" w:customStyle="1" w:styleId="xc">
    <w:name w:val="x_c"/>
    <w:basedOn w:val="Normal"/>
    <w:rsid w:val="00F476DB"/>
    <w:pPr>
      <w:spacing w:after="200" w:line="276" w:lineRule="auto"/>
    </w:pPr>
    <w:rPr>
      <w:rFonts w:ascii="Calibri" w:eastAsiaTheme="minorHAnsi" w:hAnsi="Calibri" w:cs="Calibri"/>
      <w:b/>
      <w:bCs/>
      <w:color w:val="00183D"/>
      <w:sz w:val="28"/>
      <w:szCs w:val="28"/>
      <w:lang w:val="en-GB" w:eastAsia="en-GB"/>
    </w:rPr>
  </w:style>
  <w:style w:type="paragraph" w:styleId="CommentText">
    <w:name w:val="annotation text"/>
    <w:basedOn w:val="Normal"/>
    <w:link w:val="CommentTextChar"/>
    <w:uiPriority w:val="99"/>
    <w:unhideWhenUsed/>
    <w:rsid w:val="00B94733"/>
    <w:rPr>
      <w:sz w:val="20"/>
      <w:szCs w:val="20"/>
    </w:rPr>
  </w:style>
  <w:style w:type="character" w:customStyle="1" w:styleId="CommentTextChar">
    <w:name w:val="Comment Text Char"/>
    <w:basedOn w:val="DefaultParagraphFont"/>
    <w:link w:val="CommentText"/>
    <w:uiPriority w:val="99"/>
    <w:rsid w:val="00B94733"/>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9675A"/>
    <w:rPr>
      <w:sz w:val="16"/>
      <w:szCs w:val="16"/>
    </w:rPr>
  </w:style>
  <w:style w:type="paragraph" w:styleId="BodyText">
    <w:name w:val="Body Text"/>
    <w:basedOn w:val="Normal"/>
    <w:link w:val="BodyTextChar"/>
    <w:uiPriority w:val="1"/>
    <w:qFormat/>
    <w:rsid w:val="007557AB"/>
    <w:pPr>
      <w:widowControl w:val="0"/>
      <w:autoSpaceDE w:val="0"/>
      <w:autoSpaceDN w:val="0"/>
    </w:pPr>
    <w:rPr>
      <w:rFonts w:ascii="Calibri Light" w:eastAsia="Calibri Light" w:hAnsi="Calibri Light" w:cs="Calibri Light"/>
      <w:sz w:val="21"/>
      <w:szCs w:val="21"/>
      <w:lang w:val="el-GR" w:eastAsia="el-GR" w:bidi="el-GR"/>
    </w:rPr>
  </w:style>
  <w:style w:type="character" w:customStyle="1" w:styleId="BodyTextChar">
    <w:name w:val="Body Text Char"/>
    <w:basedOn w:val="DefaultParagraphFont"/>
    <w:link w:val="BodyText"/>
    <w:uiPriority w:val="1"/>
    <w:rsid w:val="007557AB"/>
    <w:rPr>
      <w:rFonts w:ascii="Calibri Light" w:eastAsia="Calibri Light" w:hAnsi="Calibri Light" w:cs="Calibri Light"/>
      <w:sz w:val="21"/>
      <w:szCs w:val="21"/>
      <w:lang w:val="el-GR" w:eastAsia="el-GR" w:bidi="el-GR"/>
    </w:rPr>
  </w:style>
  <w:style w:type="paragraph" w:styleId="CommentSubject">
    <w:name w:val="annotation subject"/>
    <w:basedOn w:val="CommentText"/>
    <w:next w:val="CommentText"/>
    <w:link w:val="CommentSubjectChar"/>
    <w:uiPriority w:val="99"/>
    <w:semiHidden/>
    <w:unhideWhenUsed/>
    <w:rsid w:val="00544AFE"/>
    <w:rPr>
      <w:b/>
      <w:bCs/>
    </w:rPr>
  </w:style>
  <w:style w:type="character" w:customStyle="1" w:styleId="CommentSubjectChar">
    <w:name w:val="Comment Subject Char"/>
    <w:basedOn w:val="CommentTextChar"/>
    <w:link w:val="CommentSubject"/>
    <w:uiPriority w:val="99"/>
    <w:semiHidden/>
    <w:rsid w:val="00544AFE"/>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040FF8"/>
    <w:pPr>
      <w:widowControl w:val="0"/>
      <w:autoSpaceDE w:val="0"/>
      <w:autoSpaceDN w:val="0"/>
      <w:spacing w:line="237" w:lineRule="exact"/>
      <w:jc w:val="right"/>
    </w:pPr>
    <w:rPr>
      <w:rFonts w:ascii="Calibri" w:eastAsia="Calibri" w:hAnsi="Calibri" w:cs="Calibri"/>
      <w:sz w:val="22"/>
      <w:szCs w:val="22"/>
      <w:lang w:val="el-GR" w:eastAsia="el-GR" w:bidi="el-GR"/>
    </w:rPr>
  </w:style>
  <w:style w:type="character" w:styleId="UnresolvedMention">
    <w:name w:val="Unresolved Mention"/>
    <w:basedOn w:val="DefaultParagraphFont"/>
    <w:uiPriority w:val="99"/>
    <w:semiHidden/>
    <w:unhideWhenUsed/>
    <w:rsid w:val="00D54D60"/>
    <w:rPr>
      <w:color w:val="605E5C"/>
      <w:shd w:val="clear" w:color="auto" w:fill="E1DFDD"/>
    </w:rPr>
  </w:style>
  <w:style w:type="paragraph" w:customStyle="1" w:styleId="Default">
    <w:name w:val="Default"/>
    <w:rsid w:val="002A7272"/>
    <w:pPr>
      <w:autoSpaceDE w:val="0"/>
      <w:autoSpaceDN w:val="0"/>
      <w:adjustRightInd w:val="0"/>
      <w:spacing w:after="0" w:line="240" w:lineRule="auto"/>
    </w:pPr>
    <w:rPr>
      <w:rFonts w:ascii="Calibri" w:hAnsi="Calibri" w:cs="Calibri"/>
      <w:color w:val="000000"/>
      <w:sz w:val="24"/>
      <w:szCs w:val="24"/>
      <w:lang w:val="en-US"/>
    </w:rPr>
  </w:style>
  <w:style w:type="character" w:customStyle="1" w:styleId="cf01">
    <w:name w:val="cf01"/>
    <w:basedOn w:val="DefaultParagraphFont"/>
    <w:rsid w:val="00387B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199">
      <w:bodyDiv w:val="1"/>
      <w:marLeft w:val="0"/>
      <w:marRight w:val="0"/>
      <w:marTop w:val="0"/>
      <w:marBottom w:val="0"/>
      <w:divBdr>
        <w:top w:val="none" w:sz="0" w:space="0" w:color="auto"/>
        <w:left w:val="none" w:sz="0" w:space="0" w:color="auto"/>
        <w:bottom w:val="none" w:sz="0" w:space="0" w:color="auto"/>
        <w:right w:val="none" w:sz="0" w:space="0" w:color="auto"/>
      </w:divBdr>
    </w:div>
    <w:div w:id="62222159">
      <w:bodyDiv w:val="1"/>
      <w:marLeft w:val="0"/>
      <w:marRight w:val="0"/>
      <w:marTop w:val="0"/>
      <w:marBottom w:val="0"/>
      <w:divBdr>
        <w:top w:val="none" w:sz="0" w:space="0" w:color="auto"/>
        <w:left w:val="none" w:sz="0" w:space="0" w:color="auto"/>
        <w:bottom w:val="none" w:sz="0" w:space="0" w:color="auto"/>
        <w:right w:val="none" w:sz="0" w:space="0" w:color="auto"/>
      </w:divBdr>
    </w:div>
    <w:div w:id="77286745">
      <w:bodyDiv w:val="1"/>
      <w:marLeft w:val="0"/>
      <w:marRight w:val="0"/>
      <w:marTop w:val="0"/>
      <w:marBottom w:val="0"/>
      <w:divBdr>
        <w:top w:val="none" w:sz="0" w:space="0" w:color="auto"/>
        <w:left w:val="none" w:sz="0" w:space="0" w:color="auto"/>
        <w:bottom w:val="none" w:sz="0" w:space="0" w:color="auto"/>
        <w:right w:val="none" w:sz="0" w:space="0" w:color="auto"/>
      </w:divBdr>
    </w:div>
    <w:div w:id="116797437">
      <w:bodyDiv w:val="1"/>
      <w:marLeft w:val="0"/>
      <w:marRight w:val="0"/>
      <w:marTop w:val="0"/>
      <w:marBottom w:val="0"/>
      <w:divBdr>
        <w:top w:val="none" w:sz="0" w:space="0" w:color="auto"/>
        <w:left w:val="none" w:sz="0" w:space="0" w:color="auto"/>
        <w:bottom w:val="none" w:sz="0" w:space="0" w:color="auto"/>
        <w:right w:val="none" w:sz="0" w:space="0" w:color="auto"/>
      </w:divBdr>
    </w:div>
    <w:div w:id="167908118">
      <w:bodyDiv w:val="1"/>
      <w:marLeft w:val="0"/>
      <w:marRight w:val="0"/>
      <w:marTop w:val="0"/>
      <w:marBottom w:val="0"/>
      <w:divBdr>
        <w:top w:val="none" w:sz="0" w:space="0" w:color="auto"/>
        <w:left w:val="none" w:sz="0" w:space="0" w:color="auto"/>
        <w:bottom w:val="none" w:sz="0" w:space="0" w:color="auto"/>
        <w:right w:val="none" w:sz="0" w:space="0" w:color="auto"/>
      </w:divBdr>
    </w:div>
    <w:div w:id="167985721">
      <w:bodyDiv w:val="1"/>
      <w:marLeft w:val="0"/>
      <w:marRight w:val="0"/>
      <w:marTop w:val="0"/>
      <w:marBottom w:val="0"/>
      <w:divBdr>
        <w:top w:val="none" w:sz="0" w:space="0" w:color="auto"/>
        <w:left w:val="none" w:sz="0" w:space="0" w:color="auto"/>
        <w:bottom w:val="none" w:sz="0" w:space="0" w:color="auto"/>
        <w:right w:val="none" w:sz="0" w:space="0" w:color="auto"/>
      </w:divBdr>
    </w:div>
    <w:div w:id="230192877">
      <w:bodyDiv w:val="1"/>
      <w:marLeft w:val="0"/>
      <w:marRight w:val="0"/>
      <w:marTop w:val="0"/>
      <w:marBottom w:val="0"/>
      <w:divBdr>
        <w:top w:val="none" w:sz="0" w:space="0" w:color="auto"/>
        <w:left w:val="none" w:sz="0" w:space="0" w:color="auto"/>
        <w:bottom w:val="none" w:sz="0" w:space="0" w:color="auto"/>
        <w:right w:val="none" w:sz="0" w:space="0" w:color="auto"/>
      </w:divBdr>
    </w:div>
    <w:div w:id="235240642">
      <w:bodyDiv w:val="1"/>
      <w:marLeft w:val="0"/>
      <w:marRight w:val="0"/>
      <w:marTop w:val="0"/>
      <w:marBottom w:val="0"/>
      <w:divBdr>
        <w:top w:val="none" w:sz="0" w:space="0" w:color="auto"/>
        <w:left w:val="none" w:sz="0" w:space="0" w:color="auto"/>
        <w:bottom w:val="none" w:sz="0" w:space="0" w:color="auto"/>
        <w:right w:val="none" w:sz="0" w:space="0" w:color="auto"/>
      </w:divBdr>
    </w:div>
    <w:div w:id="250818840">
      <w:bodyDiv w:val="1"/>
      <w:marLeft w:val="0"/>
      <w:marRight w:val="0"/>
      <w:marTop w:val="0"/>
      <w:marBottom w:val="0"/>
      <w:divBdr>
        <w:top w:val="none" w:sz="0" w:space="0" w:color="auto"/>
        <w:left w:val="none" w:sz="0" w:space="0" w:color="auto"/>
        <w:bottom w:val="none" w:sz="0" w:space="0" w:color="auto"/>
        <w:right w:val="none" w:sz="0" w:space="0" w:color="auto"/>
      </w:divBdr>
      <w:divsChild>
        <w:div w:id="120150037">
          <w:marLeft w:val="446"/>
          <w:marRight w:val="0"/>
          <w:marTop w:val="0"/>
          <w:marBottom w:val="140"/>
          <w:divBdr>
            <w:top w:val="none" w:sz="0" w:space="0" w:color="auto"/>
            <w:left w:val="none" w:sz="0" w:space="0" w:color="auto"/>
            <w:bottom w:val="none" w:sz="0" w:space="0" w:color="auto"/>
            <w:right w:val="none" w:sz="0" w:space="0" w:color="auto"/>
          </w:divBdr>
        </w:div>
        <w:div w:id="311913636">
          <w:marLeft w:val="446"/>
          <w:marRight w:val="0"/>
          <w:marTop w:val="0"/>
          <w:marBottom w:val="140"/>
          <w:divBdr>
            <w:top w:val="none" w:sz="0" w:space="0" w:color="auto"/>
            <w:left w:val="none" w:sz="0" w:space="0" w:color="auto"/>
            <w:bottom w:val="none" w:sz="0" w:space="0" w:color="auto"/>
            <w:right w:val="none" w:sz="0" w:space="0" w:color="auto"/>
          </w:divBdr>
        </w:div>
        <w:div w:id="766386923">
          <w:marLeft w:val="446"/>
          <w:marRight w:val="0"/>
          <w:marTop w:val="0"/>
          <w:marBottom w:val="140"/>
          <w:divBdr>
            <w:top w:val="none" w:sz="0" w:space="0" w:color="auto"/>
            <w:left w:val="none" w:sz="0" w:space="0" w:color="auto"/>
            <w:bottom w:val="none" w:sz="0" w:space="0" w:color="auto"/>
            <w:right w:val="none" w:sz="0" w:space="0" w:color="auto"/>
          </w:divBdr>
        </w:div>
        <w:div w:id="837814961">
          <w:marLeft w:val="446"/>
          <w:marRight w:val="0"/>
          <w:marTop w:val="0"/>
          <w:marBottom w:val="140"/>
          <w:divBdr>
            <w:top w:val="none" w:sz="0" w:space="0" w:color="auto"/>
            <w:left w:val="none" w:sz="0" w:space="0" w:color="auto"/>
            <w:bottom w:val="none" w:sz="0" w:space="0" w:color="auto"/>
            <w:right w:val="none" w:sz="0" w:space="0" w:color="auto"/>
          </w:divBdr>
        </w:div>
        <w:div w:id="1042904612">
          <w:marLeft w:val="446"/>
          <w:marRight w:val="0"/>
          <w:marTop w:val="0"/>
          <w:marBottom w:val="140"/>
          <w:divBdr>
            <w:top w:val="none" w:sz="0" w:space="0" w:color="auto"/>
            <w:left w:val="none" w:sz="0" w:space="0" w:color="auto"/>
            <w:bottom w:val="none" w:sz="0" w:space="0" w:color="auto"/>
            <w:right w:val="none" w:sz="0" w:space="0" w:color="auto"/>
          </w:divBdr>
        </w:div>
        <w:div w:id="1268342589">
          <w:marLeft w:val="446"/>
          <w:marRight w:val="0"/>
          <w:marTop w:val="0"/>
          <w:marBottom w:val="140"/>
          <w:divBdr>
            <w:top w:val="none" w:sz="0" w:space="0" w:color="auto"/>
            <w:left w:val="none" w:sz="0" w:space="0" w:color="auto"/>
            <w:bottom w:val="none" w:sz="0" w:space="0" w:color="auto"/>
            <w:right w:val="none" w:sz="0" w:space="0" w:color="auto"/>
          </w:divBdr>
        </w:div>
        <w:div w:id="1444421631">
          <w:marLeft w:val="446"/>
          <w:marRight w:val="0"/>
          <w:marTop w:val="0"/>
          <w:marBottom w:val="140"/>
          <w:divBdr>
            <w:top w:val="none" w:sz="0" w:space="0" w:color="auto"/>
            <w:left w:val="none" w:sz="0" w:space="0" w:color="auto"/>
            <w:bottom w:val="none" w:sz="0" w:space="0" w:color="auto"/>
            <w:right w:val="none" w:sz="0" w:space="0" w:color="auto"/>
          </w:divBdr>
        </w:div>
        <w:div w:id="1750468369">
          <w:marLeft w:val="446"/>
          <w:marRight w:val="0"/>
          <w:marTop w:val="0"/>
          <w:marBottom w:val="140"/>
          <w:divBdr>
            <w:top w:val="none" w:sz="0" w:space="0" w:color="auto"/>
            <w:left w:val="none" w:sz="0" w:space="0" w:color="auto"/>
            <w:bottom w:val="none" w:sz="0" w:space="0" w:color="auto"/>
            <w:right w:val="none" w:sz="0" w:space="0" w:color="auto"/>
          </w:divBdr>
        </w:div>
        <w:div w:id="1757049445">
          <w:marLeft w:val="446"/>
          <w:marRight w:val="0"/>
          <w:marTop w:val="0"/>
          <w:marBottom w:val="140"/>
          <w:divBdr>
            <w:top w:val="none" w:sz="0" w:space="0" w:color="auto"/>
            <w:left w:val="none" w:sz="0" w:space="0" w:color="auto"/>
            <w:bottom w:val="none" w:sz="0" w:space="0" w:color="auto"/>
            <w:right w:val="none" w:sz="0" w:space="0" w:color="auto"/>
          </w:divBdr>
        </w:div>
        <w:div w:id="1808742844">
          <w:marLeft w:val="446"/>
          <w:marRight w:val="0"/>
          <w:marTop w:val="0"/>
          <w:marBottom w:val="140"/>
          <w:divBdr>
            <w:top w:val="none" w:sz="0" w:space="0" w:color="auto"/>
            <w:left w:val="none" w:sz="0" w:space="0" w:color="auto"/>
            <w:bottom w:val="none" w:sz="0" w:space="0" w:color="auto"/>
            <w:right w:val="none" w:sz="0" w:space="0" w:color="auto"/>
          </w:divBdr>
        </w:div>
      </w:divsChild>
    </w:div>
    <w:div w:id="265575768">
      <w:bodyDiv w:val="1"/>
      <w:marLeft w:val="0"/>
      <w:marRight w:val="0"/>
      <w:marTop w:val="0"/>
      <w:marBottom w:val="0"/>
      <w:divBdr>
        <w:top w:val="none" w:sz="0" w:space="0" w:color="auto"/>
        <w:left w:val="none" w:sz="0" w:space="0" w:color="auto"/>
        <w:bottom w:val="none" w:sz="0" w:space="0" w:color="auto"/>
        <w:right w:val="none" w:sz="0" w:space="0" w:color="auto"/>
      </w:divBdr>
    </w:div>
    <w:div w:id="289822180">
      <w:bodyDiv w:val="1"/>
      <w:marLeft w:val="0"/>
      <w:marRight w:val="0"/>
      <w:marTop w:val="0"/>
      <w:marBottom w:val="0"/>
      <w:divBdr>
        <w:top w:val="none" w:sz="0" w:space="0" w:color="auto"/>
        <w:left w:val="none" w:sz="0" w:space="0" w:color="auto"/>
        <w:bottom w:val="none" w:sz="0" w:space="0" w:color="auto"/>
        <w:right w:val="none" w:sz="0" w:space="0" w:color="auto"/>
      </w:divBdr>
    </w:div>
    <w:div w:id="317852791">
      <w:bodyDiv w:val="1"/>
      <w:marLeft w:val="0"/>
      <w:marRight w:val="0"/>
      <w:marTop w:val="0"/>
      <w:marBottom w:val="0"/>
      <w:divBdr>
        <w:top w:val="none" w:sz="0" w:space="0" w:color="auto"/>
        <w:left w:val="none" w:sz="0" w:space="0" w:color="auto"/>
        <w:bottom w:val="none" w:sz="0" w:space="0" w:color="auto"/>
        <w:right w:val="none" w:sz="0" w:space="0" w:color="auto"/>
      </w:divBdr>
    </w:div>
    <w:div w:id="335621687">
      <w:bodyDiv w:val="1"/>
      <w:marLeft w:val="0"/>
      <w:marRight w:val="0"/>
      <w:marTop w:val="0"/>
      <w:marBottom w:val="0"/>
      <w:divBdr>
        <w:top w:val="none" w:sz="0" w:space="0" w:color="auto"/>
        <w:left w:val="none" w:sz="0" w:space="0" w:color="auto"/>
        <w:bottom w:val="none" w:sz="0" w:space="0" w:color="auto"/>
        <w:right w:val="none" w:sz="0" w:space="0" w:color="auto"/>
      </w:divBdr>
    </w:div>
    <w:div w:id="354579808">
      <w:bodyDiv w:val="1"/>
      <w:marLeft w:val="0"/>
      <w:marRight w:val="0"/>
      <w:marTop w:val="0"/>
      <w:marBottom w:val="0"/>
      <w:divBdr>
        <w:top w:val="none" w:sz="0" w:space="0" w:color="auto"/>
        <w:left w:val="none" w:sz="0" w:space="0" w:color="auto"/>
        <w:bottom w:val="none" w:sz="0" w:space="0" w:color="auto"/>
        <w:right w:val="none" w:sz="0" w:space="0" w:color="auto"/>
      </w:divBdr>
    </w:div>
    <w:div w:id="365837648">
      <w:bodyDiv w:val="1"/>
      <w:marLeft w:val="0"/>
      <w:marRight w:val="0"/>
      <w:marTop w:val="0"/>
      <w:marBottom w:val="0"/>
      <w:divBdr>
        <w:top w:val="none" w:sz="0" w:space="0" w:color="auto"/>
        <w:left w:val="none" w:sz="0" w:space="0" w:color="auto"/>
        <w:bottom w:val="none" w:sz="0" w:space="0" w:color="auto"/>
        <w:right w:val="none" w:sz="0" w:space="0" w:color="auto"/>
      </w:divBdr>
    </w:div>
    <w:div w:id="386343741">
      <w:bodyDiv w:val="1"/>
      <w:marLeft w:val="0"/>
      <w:marRight w:val="0"/>
      <w:marTop w:val="0"/>
      <w:marBottom w:val="0"/>
      <w:divBdr>
        <w:top w:val="none" w:sz="0" w:space="0" w:color="auto"/>
        <w:left w:val="none" w:sz="0" w:space="0" w:color="auto"/>
        <w:bottom w:val="none" w:sz="0" w:space="0" w:color="auto"/>
        <w:right w:val="none" w:sz="0" w:space="0" w:color="auto"/>
      </w:divBdr>
    </w:div>
    <w:div w:id="413012854">
      <w:bodyDiv w:val="1"/>
      <w:marLeft w:val="0"/>
      <w:marRight w:val="0"/>
      <w:marTop w:val="0"/>
      <w:marBottom w:val="0"/>
      <w:divBdr>
        <w:top w:val="none" w:sz="0" w:space="0" w:color="auto"/>
        <w:left w:val="none" w:sz="0" w:space="0" w:color="auto"/>
        <w:bottom w:val="none" w:sz="0" w:space="0" w:color="auto"/>
        <w:right w:val="none" w:sz="0" w:space="0" w:color="auto"/>
      </w:divBdr>
    </w:div>
    <w:div w:id="428238118">
      <w:bodyDiv w:val="1"/>
      <w:marLeft w:val="0"/>
      <w:marRight w:val="0"/>
      <w:marTop w:val="0"/>
      <w:marBottom w:val="0"/>
      <w:divBdr>
        <w:top w:val="none" w:sz="0" w:space="0" w:color="auto"/>
        <w:left w:val="none" w:sz="0" w:space="0" w:color="auto"/>
        <w:bottom w:val="none" w:sz="0" w:space="0" w:color="auto"/>
        <w:right w:val="none" w:sz="0" w:space="0" w:color="auto"/>
      </w:divBdr>
    </w:div>
    <w:div w:id="430009231">
      <w:bodyDiv w:val="1"/>
      <w:marLeft w:val="0"/>
      <w:marRight w:val="0"/>
      <w:marTop w:val="0"/>
      <w:marBottom w:val="0"/>
      <w:divBdr>
        <w:top w:val="none" w:sz="0" w:space="0" w:color="auto"/>
        <w:left w:val="none" w:sz="0" w:space="0" w:color="auto"/>
        <w:bottom w:val="none" w:sz="0" w:space="0" w:color="auto"/>
        <w:right w:val="none" w:sz="0" w:space="0" w:color="auto"/>
      </w:divBdr>
    </w:div>
    <w:div w:id="477504671">
      <w:bodyDiv w:val="1"/>
      <w:marLeft w:val="0"/>
      <w:marRight w:val="0"/>
      <w:marTop w:val="0"/>
      <w:marBottom w:val="0"/>
      <w:divBdr>
        <w:top w:val="none" w:sz="0" w:space="0" w:color="auto"/>
        <w:left w:val="none" w:sz="0" w:space="0" w:color="auto"/>
        <w:bottom w:val="none" w:sz="0" w:space="0" w:color="auto"/>
        <w:right w:val="none" w:sz="0" w:space="0" w:color="auto"/>
      </w:divBdr>
    </w:div>
    <w:div w:id="516971141">
      <w:bodyDiv w:val="1"/>
      <w:marLeft w:val="0"/>
      <w:marRight w:val="0"/>
      <w:marTop w:val="0"/>
      <w:marBottom w:val="0"/>
      <w:divBdr>
        <w:top w:val="none" w:sz="0" w:space="0" w:color="auto"/>
        <w:left w:val="none" w:sz="0" w:space="0" w:color="auto"/>
        <w:bottom w:val="none" w:sz="0" w:space="0" w:color="auto"/>
        <w:right w:val="none" w:sz="0" w:space="0" w:color="auto"/>
      </w:divBdr>
    </w:div>
    <w:div w:id="528907573">
      <w:bodyDiv w:val="1"/>
      <w:marLeft w:val="0"/>
      <w:marRight w:val="0"/>
      <w:marTop w:val="0"/>
      <w:marBottom w:val="0"/>
      <w:divBdr>
        <w:top w:val="none" w:sz="0" w:space="0" w:color="auto"/>
        <w:left w:val="none" w:sz="0" w:space="0" w:color="auto"/>
        <w:bottom w:val="none" w:sz="0" w:space="0" w:color="auto"/>
        <w:right w:val="none" w:sz="0" w:space="0" w:color="auto"/>
      </w:divBdr>
    </w:div>
    <w:div w:id="540363107">
      <w:bodyDiv w:val="1"/>
      <w:marLeft w:val="0"/>
      <w:marRight w:val="0"/>
      <w:marTop w:val="0"/>
      <w:marBottom w:val="0"/>
      <w:divBdr>
        <w:top w:val="none" w:sz="0" w:space="0" w:color="auto"/>
        <w:left w:val="none" w:sz="0" w:space="0" w:color="auto"/>
        <w:bottom w:val="none" w:sz="0" w:space="0" w:color="auto"/>
        <w:right w:val="none" w:sz="0" w:space="0" w:color="auto"/>
      </w:divBdr>
    </w:div>
    <w:div w:id="559705916">
      <w:bodyDiv w:val="1"/>
      <w:marLeft w:val="0"/>
      <w:marRight w:val="0"/>
      <w:marTop w:val="0"/>
      <w:marBottom w:val="0"/>
      <w:divBdr>
        <w:top w:val="none" w:sz="0" w:space="0" w:color="auto"/>
        <w:left w:val="none" w:sz="0" w:space="0" w:color="auto"/>
        <w:bottom w:val="none" w:sz="0" w:space="0" w:color="auto"/>
        <w:right w:val="none" w:sz="0" w:space="0" w:color="auto"/>
      </w:divBdr>
    </w:div>
    <w:div w:id="572200063">
      <w:bodyDiv w:val="1"/>
      <w:marLeft w:val="0"/>
      <w:marRight w:val="0"/>
      <w:marTop w:val="0"/>
      <w:marBottom w:val="0"/>
      <w:divBdr>
        <w:top w:val="none" w:sz="0" w:space="0" w:color="auto"/>
        <w:left w:val="none" w:sz="0" w:space="0" w:color="auto"/>
        <w:bottom w:val="none" w:sz="0" w:space="0" w:color="auto"/>
        <w:right w:val="none" w:sz="0" w:space="0" w:color="auto"/>
      </w:divBdr>
    </w:div>
    <w:div w:id="583494662">
      <w:bodyDiv w:val="1"/>
      <w:marLeft w:val="0"/>
      <w:marRight w:val="0"/>
      <w:marTop w:val="0"/>
      <w:marBottom w:val="0"/>
      <w:divBdr>
        <w:top w:val="none" w:sz="0" w:space="0" w:color="auto"/>
        <w:left w:val="none" w:sz="0" w:space="0" w:color="auto"/>
        <w:bottom w:val="none" w:sz="0" w:space="0" w:color="auto"/>
        <w:right w:val="none" w:sz="0" w:space="0" w:color="auto"/>
      </w:divBdr>
    </w:div>
    <w:div w:id="591089134">
      <w:bodyDiv w:val="1"/>
      <w:marLeft w:val="0"/>
      <w:marRight w:val="0"/>
      <w:marTop w:val="0"/>
      <w:marBottom w:val="0"/>
      <w:divBdr>
        <w:top w:val="none" w:sz="0" w:space="0" w:color="auto"/>
        <w:left w:val="none" w:sz="0" w:space="0" w:color="auto"/>
        <w:bottom w:val="none" w:sz="0" w:space="0" w:color="auto"/>
        <w:right w:val="none" w:sz="0" w:space="0" w:color="auto"/>
      </w:divBdr>
    </w:div>
    <w:div w:id="635061545">
      <w:bodyDiv w:val="1"/>
      <w:marLeft w:val="0"/>
      <w:marRight w:val="0"/>
      <w:marTop w:val="0"/>
      <w:marBottom w:val="0"/>
      <w:divBdr>
        <w:top w:val="none" w:sz="0" w:space="0" w:color="auto"/>
        <w:left w:val="none" w:sz="0" w:space="0" w:color="auto"/>
        <w:bottom w:val="none" w:sz="0" w:space="0" w:color="auto"/>
        <w:right w:val="none" w:sz="0" w:space="0" w:color="auto"/>
      </w:divBdr>
    </w:div>
    <w:div w:id="678509225">
      <w:bodyDiv w:val="1"/>
      <w:marLeft w:val="0"/>
      <w:marRight w:val="0"/>
      <w:marTop w:val="0"/>
      <w:marBottom w:val="0"/>
      <w:divBdr>
        <w:top w:val="none" w:sz="0" w:space="0" w:color="auto"/>
        <w:left w:val="none" w:sz="0" w:space="0" w:color="auto"/>
        <w:bottom w:val="none" w:sz="0" w:space="0" w:color="auto"/>
        <w:right w:val="none" w:sz="0" w:space="0" w:color="auto"/>
      </w:divBdr>
    </w:div>
    <w:div w:id="699669714">
      <w:bodyDiv w:val="1"/>
      <w:marLeft w:val="0"/>
      <w:marRight w:val="0"/>
      <w:marTop w:val="0"/>
      <w:marBottom w:val="0"/>
      <w:divBdr>
        <w:top w:val="none" w:sz="0" w:space="0" w:color="auto"/>
        <w:left w:val="none" w:sz="0" w:space="0" w:color="auto"/>
        <w:bottom w:val="none" w:sz="0" w:space="0" w:color="auto"/>
        <w:right w:val="none" w:sz="0" w:space="0" w:color="auto"/>
      </w:divBdr>
    </w:div>
    <w:div w:id="722171206">
      <w:bodyDiv w:val="1"/>
      <w:marLeft w:val="0"/>
      <w:marRight w:val="0"/>
      <w:marTop w:val="0"/>
      <w:marBottom w:val="0"/>
      <w:divBdr>
        <w:top w:val="none" w:sz="0" w:space="0" w:color="auto"/>
        <w:left w:val="none" w:sz="0" w:space="0" w:color="auto"/>
        <w:bottom w:val="none" w:sz="0" w:space="0" w:color="auto"/>
        <w:right w:val="none" w:sz="0" w:space="0" w:color="auto"/>
      </w:divBdr>
    </w:div>
    <w:div w:id="730692315">
      <w:bodyDiv w:val="1"/>
      <w:marLeft w:val="0"/>
      <w:marRight w:val="0"/>
      <w:marTop w:val="0"/>
      <w:marBottom w:val="0"/>
      <w:divBdr>
        <w:top w:val="none" w:sz="0" w:space="0" w:color="auto"/>
        <w:left w:val="none" w:sz="0" w:space="0" w:color="auto"/>
        <w:bottom w:val="none" w:sz="0" w:space="0" w:color="auto"/>
        <w:right w:val="none" w:sz="0" w:space="0" w:color="auto"/>
      </w:divBdr>
    </w:div>
    <w:div w:id="751662347">
      <w:bodyDiv w:val="1"/>
      <w:marLeft w:val="0"/>
      <w:marRight w:val="0"/>
      <w:marTop w:val="0"/>
      <w:marBottom w:val="0"/>
      <w:divBdr>
        <w:top w:val="none" w:sz="0" w:space="0" w:color="auto"/>
        <w:left w:val="none" w:sz="0" w:space="0" w:color="auto"/>
        <w:bottom w:val="none" w:sz="0" w:space="0" w:color="auto"/>
        <w:right w:val="none" w:sz="0" w:space="0" w:color="auto"/>
      </w:divBdr>
    </w:div>
    <w:div w:id="786700174">
      <w:bodyDiv w:val="1"/>
      <w:marLeft w:val="0"/>
      <w:marRight w:val="0"/>
      <w:marTop w:val="0"/>
      <w:marBottom w:val="0"/>
      <w:divBdr>
        <w:top w:val="none" w:sz="0" w:space="0" w:color="auto"/>
        <w:left w:val="none" w:sz="0" w:space="0" w:color="auto"/>
        <w:bottom w:val="none" w:sz="0" w:space="0" w:color="auto"/>
        <w:right w:val="none" w:sz="0" w:space="0" w:color="auto"/>
      </w:divBdr>
    </w:div>
    <w:div w:id="795636594">
      <w:bodyDiv w:val="1"/>
      <w:marLeft w:val="0"/>
      <w:marRight w:val="0"/>
      <w:marTop w:val="0"/>
      <w:marBottom w:val="0"/>
      <w:divBdr>
        <w:top w:val="none" w:sz="0" w:space="0" w:color="auto"/>
        <w:left w:val="none" w:sz="0" w:space="0" w:color="auto"/>
        <w:bottom w:val="none" w:sz="0" w:space="0" w:color="auto"/>
        <w:right w:val="none" w:sz="0" w:space="0" w:color="auto"/>
      </w:divBdr>
    </w:div>
    <w:div w:id="836572646">
      <w:bodyDiv w:val="1"/>
      <w:marLeft w:val="0"/>
      <w:marRight w:val="0"/>
      <w:marTop w:val="0"/>
      <w:marBottom w:val="0"/>
      <w:divBdr>
        <w:top w:val="none" w:sz="0" w:space="0" w:color="auto"/>
        <w:left w:val="none" w:sz="0" w:space="0" w:color="auto"/>
        <w:bottom w:val="none" w:sz="0" w:space="0" w:color="auto"/>
        <w:right w:val="none" w:sz="0" w:space="0" w:color="auto"/>
      </w:divBdr>
    </w:div>
    <w:div w:id="888957193">
      <w:bodyDiv w:val="1"/>
      <w:marLeft w:val="0"/>
      <w:marRight w:val="0"/>
      <w:marTop w:val="0"/>
      <w:marBottom w:val="0"/>
      <w:divBdr>
        <w:top w:val="none" w:sz="0" w:space="0" w:color="auto"/>
        <w:left w:val="none" w:sz="0" w:space="0" w:color="auto"/>
        <w:bottom w:val="none" w:sz="0" w:space="0" w:color="auto"/>
        <w:right w:val="none" w:sz="0" w:space="0" w:color="auto"/>
      </w:divBdr>
    </w:div>
    <w:div w:id="979698965">
      <w:bodyDiv w:val="1"/>
      <w:marLeft w:val="0"/>
      <w:marRight w:val="0"/>
      <w:marTop w:val="0"/>
      <w:marBottom w:val="0"/>
      <w:divBdr>
        <w:top w:val="none" w:sz="0" w:space="0" w:color="auto"/>
        <w:left w:val="none" w:sz="0" w:space="0" w:color="auto"/>
        <w:bottom w:val="none" w:sz="0" w:space="0" w:color="auto"/>
        <w:right w:val="none" w:sz="0" w:space="0" w:color="auto"/>
      </w:divBdr>
    </w:div>
    <w:div w:id="991713082">
      <w:bodyDiv w:val="1"/>
      <w:marLeft w:val="0"/>
      <w:marRight w:val="0"/>
      <w:marTop w:val="0"/>
      <w:marBottom w:val="0"/>
      <w:divBdr>
        <w:top w:val="none" w:sz="0" w:space="0" w:color="auto"/>
        <w:left w:val="none" w:sz="0" w:space="0" w:color="auto"/>
        <w:bottom w:val="none" w:sz="0" w:space="0" w:color="auto"/>
        <w:right w:val="none" w:sz="0" w:space="0" w:color="auto"/>
      </w:divBdr>
    </w:div>
    <w:div w:id="1032538858">
      <w:bodyDiv w:val="1"/>
      <w:marLeft w:val="0"/>
      <w:marRight w:val="0"/>
      <w:marTop w:val="0"/>
      <w:marBottom w:val="0"/>
      <w:divBdr>
        <w:top w:val="none" w:sz="0" w:space="0" w:color="auto"/>
        <w:left w:val="none" w:sz="0" w:space="0" w:color="auto"/>
        <w:bottom w:val="none" w:sz="0" w:space="0" w:color="auto"/>
        <w:right w:val="none" w:sz="0" w:space="0" w:color="auto"/>
      </w:divBdr>
    </w:div>
    <w:div w:id="1038622522">
      <w:bodyDiv w:val="1"/>
      <w:marLeft w:val="0"/>
      <w:marRight w:val="0"/>
      <w:marTop w:val="0"/>
      <w:marBottom w:val="0"/>
      <w:divBdr>
        <w:top w:val="none" w:sz="0" w:space="0" w:color="auto"/>
        <w:left w:val="none" w:sz="0" w:space="0" w:color="auto"/>
        <w:bottom w:val="none" w:sz="0" w:space="0" w:color="auto"/>
        <w:right w:val="none" w:sz="0" w:space="0" w:color="auto"/>
      </w:divBdr>
    </w:div>
    <w:div w:id="1123620233">
      <w:bodyDiv w:val="1"/>
      <w:marLeft w:val="0"/>
      <w:marRight w:val="0"/>
      <w:marTop w:val="0"/>
      <w:marBottom w:val="0"/>
      <w:divBdr>
        <w:top w:val="none" w:sz="0" w:space="0" w:color="auto"/>
        <w:left w:val="none" w:sz="0" w:space="0" w:color="auto"/>
        <w:bottom w:val="none" w:sz="0" w:space="0" w:color="auto"/>
        <w:right w:val="none" w:sz="0" w:space="0" w:color="auto"/>
      </w:divBdr>
    </w:div>
    <w:div w:id="1190531556">
      <w:bodyDiv w:val="1"/>
      <w:marLeft w:val="0"/>
      <w:marRight w:val="0"/>
      <w:marTop w:val="0"/>
      <w:marBottom w:val="0"/>
      <w:divBdr>
        <w:top w:val="none" w:sz="0" w:space="0" w:color="auto"/>
        <w:left w:val="none" w:sz="0" w:space="0" w:color="auto"/>
        <w:bottom w:val="none" w:sz="0" w:space="0" w:color="auto"/>
        <w:right w:val="none" w:sz="0" w:space="0" w:color="auto"/>
      </w:divBdr>
    </w:div>
    <w:div w:id="1219852853">
      <w:bodyDiv w:val="1"/>
      <w:marLeft w:val="0"/>
      <w:marRight w:val="0"/>
      <w:marTop w:val="0"/>
      <w:marBottom w:val="0"/>
      <w:divBdr>
        <w:top w:val="none" w:sz="0" w:space="0" w:color="auto"/>
        <w:left w:val="none" w:sz="0" w:space="0" w:color="auto"/>
        <w:bottom w:val="none" w:sz="0" w:space="0" w:color="auto"/>
        <w:right w:val="none" w:sz="0" w:space="0" w:color="auto"/>
      </w:divBdr>
    </w:div>
    <w:div w:id="1223832521">
      <w:bodyDiv w:val="1"/>
      <w:marLeft w:val="0"/>
      <w:marRight w:val="0"/>
      <w:marTop w:val="0"/>
      <w:marBottom w:val="0"/>
      <w:divBdr>
        <w:top w:val="none" w:sz="0" w:space="0" w:color="auto"/>
        <w:left w:val="none" w:sz="0" w:space="0" w:color="auto"/>
        <w:bottom w:val="none" w:sz="0" w:space="0" w:color="auto"/>
        <w:right w:val="none" w:sz="0" w:space="0" w:color="auto"/>
      </w:divBdr>
    </w:div>
    <w:div w:id="1251888556">
      <w:bodyDiv w:val="1"/>
      <w:marLeft w:val="0"/>
      <w:marRight w:val="0"/>
      <w:marTop w:val="0"/>
      <w:marBottom w:val="0"/>
      <w:divBdr>
        <w:top w:val="none" w:sz="0" w:space="0" w:color="auto"/>
        <w:left w:val="none" w:sz="0" w:space="0" w:color="auto"/>
        <w:bottom w:val="none" w:sz="0" w:space="0" w:color="auto"/>
        <w:right w:val="none" w:sz="0" w:space="0" w:color="auto"/>
      </w:divBdr>
    </w:div>
    <w:div w:id="1263604910">
      <w:bodyDiv w:val="1"/>
      <w:marLeft w:val="0"/>
      <w:marRight w:val="0"/>
      <w:marTop w:val="0"/>
      <w:marBottom w:val="0"/>
      <w:divBdr>
        <w:top w:val="none" w:sz="0" w:space="0" w:color="auto"/>
        <w:left w:val="none" w:sz="0" w:space="0" w:color="auto"/>
        <w:bottom w:val="none" w:sz="0" w:space="0" w:color="auto"/>
        <w:right w:val="none" w:sz="0" w:space="0" w:color="auto"/>
      </w:divBdr>
    </w:div>
    <w:div w:id="1323776764">
      <w:bodyDiv w:val="1"/>
      <w:marLeft w:val="0"/>
      <w:marRight w:val="0"/>
      <w:marTop w:val="0"/>
      <w:marBottom w:val="0"/>
      <w:divBdr>
        <w:top w:val="none" w:sz="0" w:space="0" w:color="auto"/>
        <w:left w:val="none" w:sz="0" w:space="0" w:color="auto"/>
        <w:bottom w:val="none" w:sz="0" w:space="0" w:color="auto"/>
        <w:right w:val="none" w:sz="0" w:space="0" w:color="auto"/>
      </w:divBdr>
    </w:div>
    <w:div w:id="1340546571">
      <w:bodyDiv w:val="1"/>
      <w:marLeft w:val="0"/>
      <w:marRight w:val="0"/>
      <w:marTop w:val="0"/>
      <w:marBottom w:val="0"/>
      <w:divBdr>
        <w:top w:val="none" w:sz="0" w:space="0" w:color="auto"/>
        <w:left w:val="none" w:sz="0" w:space="0" w:color="auto"/>
        <w:bottom w:val="none" w:sz="0" w:space="0" w:color="auto"/>
        <w:right w:val="none" w:sz="0" w:space="0" w:color="auto"/>
      </w:divBdr>
    </w:div>
    <w:div w:id="1372996509">
      <w:bodyDiv w:val="1"/>
      <w:marLeft w:val="0"/>
      <w:marRight w:val="0"/>
      <w:marTop w:val="0"/>
      <w:marBottom w:val="0"/>
      <w:divBdr>
        <w:top w:val="none" w:sz="0" w:space="0" w:color="auto"/>
        <w:left w:val="none" w:sz="0" w:space="0" w:color="auto"/>
        <w:bottom w:val="none" w:sz="0" w:space="0" w:color="auto"/>
        <w:right w:val="none" w:sz="0" w:space="0" w:color="auto"/>
      </w:divBdr>
    </w:div>
    <w:div w:id="1393305928">
      <w:bodyDiv w:val="1"/>
      <w:marLeft w:val="0"/>
      <w:marRight w:val="0"/>
      <w:marTop w:val="0"/>
      <w:marBottom w:val="0"/>
      <w:divBdr>
        <w:top w:val="none" w:sz="0" w:space="0" w:color="auto"/>
        <w:left w:val="none" w:sz="0" w:space="0" w:color="auto"/>
        <w:bottom w:val="none" w:sz="0" w:space="0" w:color="auto"/>
        <w:right w:val="none" w:sz="0" w:space="0" w:color="auto"/>
      </w:divBdr>
    </w:div>
    <w:div w:id="1396005349">
      <w:bodyDiv w:val="1"/>
      <w:marLeft w:val="0"/>
      <w:marRight w:val="0"/>
      <w:marTop w:val="0"/>
      <w:marBottom w:val="0"/>
      <w:divBdr>
        <w:top w:val="none" w:sz="0" w:space="0" w:color="auto"/>
        <w:left w:val="none" w:sz="0" w:space="0" w:color="auto"/>
        <w:bottom w:val="none" w:sz="0" w:space="0" w:color="auto"/>
        <w:right w:val="none" w:sz="0" w:space="0" w:color="auto"/>
      </w:divBdr>
    </w:div>
    <w:div w:id="1459690402">
      <w:bodyDiv w:val="1"/>
      <w:marLeft w:val="0"/>
      <w:marRight w:val="0"/>
      <w:marTop w:val="0"/>
      <w:marBottom w:val="0"/>
      <w:divBdr>
        <w:top w:val="none" w:sz="0" w:space="0" w:color="auto"/>
        <w:left w:val="none" w:sz="0" w:space="0" w:color="auto"/>
        <w:bottom w:val="none" w:sz="0" w:space="0" w:color="auto"/>
        <w:right w:val="none" w:sz="0" w:space="0" w:color="auto"/>
      </w:divBdr>
    </w:div>
    <w:div w:id="1467550234">
      <w:bodyDiv w:val="1"/>
      <w:marLeft w:val="0"/>
      <w:marRight w:val="0"/>
      <w:marTop w:val="0"/>
      <w:marBottom w:val="0"/>
      <w:divBdr>
        <w:top w:val="none" w:sz="0" w:space="0" w:color="auto"/>
        <w:left w:val="none" w:sz="0" w:space="0" w:color="auto"/>
        <w:bottom w:val="none" w:sz="0" w:space="0" w:color="auto"/>
        <w:right w:val="none" w:sz="0" w:space="0" w:color="auto"/>
      </w:divBdr>
    </w:div>
    <w:div w:id="1470782450">
      <w:bodyDiv w:val="1"/>
      <w:marLeft w:val="0"/>
      <w:marRight w:val="0"/>
      <w:marTop w:val="0"/>
      <w:marBottom w:val="0"/>
      <w:divBdr>
        <w:top w:val="none" w:sz="0" w:space="0" w:color="auto"/>
        <w:left w:val="none" w:sz="0" w:space="0" w:color="auto"/>
        <w:bottom w:val="none" w:sz="0" w:space="0" w:color="auto"/>
        <w:right w:val="none" w:sz="0" w:space="0" w:color="auto"/>
      </w:divBdr>
    </w:div>
    <w:div w:id="1474912110">
      <w:bodyDiv w:val="1"/>
      <w:marLeft w:val="0"/>
      <w:marRight w:val="0"/>
      <w:marTop w:val="0"/>
      <w:marBottom w:val="0"/>
      <w:divBdr>
        <w:top w:val="none" w:sz="0" w:space="0" w:color="auto"/>
        <w:left w:val="none" w:sz="0" w:space="0" w:color="auto"/>
        <w:bottom w:val="none" w:sz="0" w:space="0" w:color="auto"/>
        <w:right w:val="none" w:sz="0" w:space="0" w:color="auto"/>
      </w:divBdr>
    </w:div>
    <w:div w:id="1476989788">
      <w:bodyDiv w:val="1"/>
      <w:marLeft w:val="0"/>
      <w:marRight w:val="0"/>
      <w:marTop w:val="0"/>
      <w:marBottom w:val="0"/>
      <w:divBdr>
        <w:top w:val="none" w:sz="0" w:space="0" w:color="auto"/>
        <w:left w:val="none" w:sz="0" w:space="0" w:color="auto"/>
        <w:bottom w:val="none" w:sz="0" w:space="0" w:color="auto"/>
        <w:right w:val="none" w:sz="0" w:space="0" w:color="auto"/>
      </w:divBdr>
    </w:div>
    <w:div w:id="1508326962">
      <w:bodyDiv w:val="1"/>
      <w:marLeft w:val="0"/>
      <w:marRight w:val="0"/>
      <w:marTop w:val="0"/>
      <w:marBottom w:val="0"/>
      <w:divBdr>
        <w:top w:val="none" w:sz="0" w:space="0" w:color="auto"/>
        <w:left w:val="none" w:sz="0" w:space="0" w:color="auto"/>
        <w:bottom w:val="none" w:sz="0" w:space="0" w:color="auto"/>
        <w:right w:val="none" w:sz="0" w:space="0" w:color="auto"/>
      </w:divBdr>
    </w:div>
    <w:div w:id="1541358266">
      <w:bodyDiv w:val="1"/>
      <w:marLeft w:val="0"/>
      <w:marRight w:val="0"/>
      <w:marTop w:val="0"/>
      <w:marBottom w:val="0"/>
      <w:divBdr>
        <w:top w:val="none" w:sz="0" w:space="0" w:color="auto"/>
        <w:left w:val="none" w:sz="0" w:space="0" w:color="auto"/>
        <w:bottom w:val="none" w:sz="0" w:space="0" w:color="auto"/>
        <w:right w:val="none" w:sz="0" w:space="0" w:color="auto"/>
      </w:divBdr>
    </w:div>
    <w:div w:id="1543783364">
      <w:bodyDiv w:val="1"/>
      <w:marLeft w:val="0"/>
      <w:marRight w:val="0"/>
      <w:marTop w:val="0"/>
      <w:marBottom w:val="0"/>
      <w:divBdr>
        <w:top w:val="none" w:sz="0" w:space="0" w:color="auto"/>
        <w:left w:val="none" w:sz="0" w:space="0" w:color="auto"/>
        <w:bottom w:val="none" w:sz="0" w:space="0" w:color="auto"/>
        <w:right w:val="none" w:sz="0" w:space="0" w:color="auto"/>
      </w:divBdr>
    </w:div>
    <w:div w:id="1544293082">
      <w:bodyDiv w:val="1"/>
      <w:marLeft w:val="0"/>
      <w:marRight w:val="0"/>
      <w:marTop w:val="0"/>
      <w:marBottom w:val="0"/>
      <w:divBdr>
        <w:top w:val="none" w:sz="0" w:space="0" w:color="auto"/>
        <w:left w:val="none" w:sz="0" w:space="0" w:color="auto"/>
        <w:bottom w:val="none" w:sz="0" w:space="0" w:color="auto"/>
        <w:right w:val="none" w:sz="0" w:space="0" w:color="auto"/>
      </w:divBdr>
    </w:div>
    <w:div w:id="1587154376">
      <w:bodyDiv w:val="1"/>
      <w:marLeft w:val="0"/>
      <w:marRight w:val="0"/>
      <w:marTop w:val="0"/>
      <w:marBottom w:val="0"/>
      <w:divBdr>
        <w:top w:val="none" w:sz="0" w:space="0" w:color="auto"/>
        <w:left w:val="none" w:sz="0" w:space="0" w:color="auto"/>
        <w:bottom w:val="none" w:sz="0" w:space="0" w:color="auto"/>
        <w:right w:val="none" w:sz="0" w:space="0" w:color="auto"/>
      </w:divBdr>
    </w:div>
    <w:div w:id="1630933851">
      <w:bodyDiv w:val="1"/>
      <w:marLeft w:val="0"/>
      <w:marRight w:val="0"/>
      <w:marTop w:val="0"/>
      <w:marBottom w:val="0"/>
      <w:divBdr>
        <w:top w:val="none" w:sz="0" w:space="0" w:color="auto"/>
        <w:left w:val="none" w:sz="0" w:space="0" w:color="auto"/>
        <w:bottom w:val="none" w:sz="0" w:space="0" w:color="auto"/>
        <w:right w:val="none" w:sz="0" w:space="0" w:color="auto"/>
      </w:divBdr>
    </w:div>
    <w:div w:id="1651205740">
      <w:bodyDiv w:val="1"/>
      <w:marLeft w:val="0"/>
      <w:marRight w:val="0"/>
      <w:marTop w:val="0"/>
      <w:marBottom w:val="0"/>
      <w:divBdr>
        <w:top w:val="none" w:sz="0" w:space="0" w:color="auto"/>
        <w:left w:val="none" w:sz="0" w:space="0" w:color="auto"/>
        <w:bottom w:val="none" w:sz="0" w:space="0" w:color="auto"/>
        <w:right w:val="none" w:sz="0" w:space="0" w:color="auto"/>
      </w:divBdr>
    </w:div>
    <w:div w:id="1661081890">
      <w:bodyDiv w:val="1"/>
      <w:marLeft w:val="0"/>
      <w:marRight w:val="0"/>
      <w:marTop w:val="0"/>
      <w:marBottom w:val="0"/>
      <w:divBdr>
        <w:top w:val="none" w:sz="0" w:space="0" w:color="auto"/>
        <w:left w:val="none" w:sz="0" w:space="0" w:color="auto"/>
        <w:bottom w:val="none" w:sz="0" w:space="0" w:color="auto"/>
        <w:right w:val="none" w:sz="0" w:space="0" w:color="auto"/>
      </w:divBdr>
    </w:div>
    <w:div w:id="1662653847">
      <w:bodyDiv w:val="1"/>
      <w:marLeft w:val="0"/>
      <w:marRight w:val="0"/>
      <w:marTop w:val="0"/>
      <w:marBottom w:val="0"/>
      <w:divBdr>
        <w:top w:val="none" w:sz="0" w:space="0" w:color="auto"/>
        <w:left w:val="none" w:sz="0" w:space="0" w:color="auto"/>
        <w:bottom w:val="none" w:sz="0" w:space="0" w:color="auto"/>
        <w:right w:val="none" w:sz="0" w:space="0" w:color="auto"/>
      </w:divBdr>
    </w:div>
    <w:div w:id="1700816211">
      <w:bodyDiv w:val="1"/>
      <w:marLeft w:val="0"/>
      <w:marRight w:val="0"/>
      <w:marTop w:val="0"/>
      <w:marBottom w:val="0"/>
      <w:divBdr>
        <w:top w:val="none" w:sz="0" w:space="0" w:color="auto"/>
        <w:left w:val="none" w:sz="0" w:space="0" w:color="auto"/>
        <w:bottom w:val="none" w:sz="0" w:space="0" w:color="auto"/>
        <w:right w:val="none" w:sz="0" w:space="0" w:color="auto"/>
      </w:divBdr>
    </w:div>
    <w:div w:id="1758860812">
      <w:bodyDiv w:val="1"/>
      <w:marLeft w:val="0"/>
      <w:marRight w:val="0"/>
      <w:marTop w:val="0"/>
      <w:marBottom w:val="0"/>
      <w:divBdr>
        <w:top w:val="none" w:sz="0" w:space="0" w:color="auto"/>
        <w:left w:val="none" w:sz="0" w:space="0" w:color="auto"/>
        <w:bottom w:val="none" w:sz="0" w:space="0" w:color="auto"/>
        <w:right w:val="none" w:sz="0" w:space="0" w:color="auto"/>
      </w:divBdr>
    </w:div>
    <w:div w:id="1779788532">
      <w:bodyDiv w:val="1"/>
      <w:marLeft w:val="0"/>
      <w:marRight w:val="0"/>
      <w:marTop w:val="0"/>
      <w:marBottom w:val="0"/>
      <w:divBdr>
        <w:top w:val="none" w:sz="0" w:space="0" w:color="auto"/>
        <w:left w:val="none" w:sz="0" w:space="0" w:color="auto"/>
        <w:bottom w:val="none" w:sz="0" w:space="0" w:color="auto"/>
        <w:right w:val="none" w:sz="0" w:space="0" w:color="auto"/>
      </w:divBdr>
    </w:div>
    <w:div w:id="1809593744">
      <w:bodyDiv w:val="1"/>
      <w:marLeft w:val="0"/>
      <w:marRight w:val="0"/>
      <w:marTop w:val="0"/>
      <w:marBottom w:val="0"/>
      <w:divBdr>
        <w:top w:val="none" w:sz="0" w:space="0" w:color="auto"/>
        <w:left w:val="none" w:sz="0" w:space="0" w:color="auto"/>
        <w:bottom w:val="none" w:sz="0" w:space="0" w:color="auto"/>
        <w:right w:val="none" w:sz="0" w:space="0" w:color="auto"/>
      </w:divBdr>
    </w:div>
    <w:div w:id="1822577931">
      <w:bodyDiv w:val="1"/>
      <w:marLeft w:val="0"/>
      <w:marRight w:val="0"/>
      <w:marTop w:val="0"/>
      <w:marBottom w:val="0"/>
      <w:divBdr>
        <w:top w:val="none" w:sz="0" w:space="0" w:color="auto"/>
        <w:left w:val="none" w:sz="0" w:space="0" w:color="auto"/>
        <w:bottom w:val="none" w:sz="0" w:space="0" w:color="auto"/>
        <w:right w:val="none" w:sz="0" w:space="0" w:color="auto"/>
      </w:divBdr>
    </w:div>
    <w:div w:id="1823502902">
      <w:bodyDiv w:val="1"/>
      <w:marLeft w:val="0"/>
      <w:marRight w:val="0"/>
      <w:marTop w:val="0"/>
      <w:marBottom w:val="0"/>
      <w:divBdr>
        <w:top w:val="none" w:sz="0" w:space="0" w:color="auto"/>
        <w:left w:val="none" w:sz="0" w:space="0" w:color="auto"/>
        <w:bottom w:val="none" w:sz="0" w:space="0" w:color="auto"/>
        <w:right w:val="none" w:sz="0" w:space="0" w:color="auto"/>
      </w:divBdr>
    </w:div>
    <w:div w:id="1837570982">
      <w:bodyDiv w:val="1"/>
      <w:marLeft w:val="0"/>
      <w:marRight w:val="0"/>
      <w:marTop w:val="0"/>
      <w:marBottom w:val="0"/>
      <w:divBdr>
        <w:top w:val="none" w:sz="0" w:space="0" w:color="auto"/>
        <w:left w:val="none" w:sz="0" w:space="0" w:color="auto"/>
        <w:bottom w:val="none" w:sz="0" w:space="0" w:color="auto"/>
        <w:right w:val="none" w:sz="0" w:space="0" w:color="auto"/>
      </w:divBdr>
    </w:div>
    <w:div w:id="1842164682">
      <w:bodyDiv w:val="1"/>
      <w:marLeft w:val="0"/>
      <w:marRight w:val="0"/>
      <w:marTop w:val="0"/>
      <w:marBottom w:val="0"/>
      <w:divBdr>
        <w:top w:val="none" w:sz="0" w:space="0" w:color="auto"/>
        <w:left w:val="none" w:sz="0" w:space="0" w:color="auto"/>
        <w:bottom w:val="none" w:sz="0" w:space="0" w:color="auto"/>
        <w:right w:val="none" w:sz="0" w:space="0" w:color="auto"/>
      </w:divBdr>
    </w:div>
    <w:div w:id="1917208861">
      <w:bodyDiv w:val="1"/>
      <w:marLeft w:val="0"/>
      <w:marRight w:val="0"/>
      <w:marTop w:val="0"/>
      <w:marBottom w:val="0"/>
      <w:divBdr>
        <w:top w:val="none" w:sz="0" w:space="0" w:color="auto"/>
        <w:left w:val="none" w:sz="0" w:space="0" w:color="auto"/>
        <w:bottom w:val="none" w:sz="0" w:space="0" w:color="auto"/>
        <w:right w:val="none" w:sz="0" w:space="0" w:color="auto"/>
      </w:divBdr>
    </w:div>
    <w:div w:id="1927301826">
      <w:bodyDiv w:val="1"/>
      <w:marLeft w:val="0"/>
      <w:marRight w:val="0"/>
      <w:marTop w:val="0"/>
      <w:marBottom w:val="0"/>
      <w:divBdr>
        <w:top w:val="none" w:sz="0" w:space="0" w:color="auto"/>
        <w:left w:val="none" w:sz="0" w:space="0" w:color="auto"/>
        <w:bottom w:val="none" w:sz="0" w:space="0" w:color="auto"/>
        <w:right w:val="none" w:sz="0" w:space="0" w:color="auto"/>
      </w:divBdr>
    </w:div>
    <w:div w:id="1935555111">
      <w:bodyDiv w:val="1"/>
      <w:marLeft w:val="0"/>
      <w:marRight w:val="0"/>
      <w:marTop w:val="0"/>
      <w:marBottom w:val="0"/>
      <w:divBdr>
        <w:top w:val="none" w:sz="0" w:space="0" w:color="auto"/>
        <w:left w:val="none" w:sz="0" w:space="0" w:color="auto"/>
        <w:bottom w:val="none" w:sz="0" w:space="0" w:color="auto"/>
        <w:right w:val="none" w:sz="0" w:space="0" w:color="auto"/>
      </w:divBdr>
    </w:div>
    <w:div w:id="1950382791">
      <w:bodyDiv w:val="1"/>
      <w:marLeft w:val="0"/>
      <w:marRight w:val="0"/>
      <w:marTop w:val="0"/>
      <w:marBottom w:val="0"/>
      <w:divBdr>
        <w:top w:val="none" w:sz="0" w:space="0" w:color="auto"/>
        <w:left w:val="none" w:sz="0" w:space="0" w:color="auto"/>
        <w:bottom w:val="none" w:sz="0" w:space="0" w:color="auto"/>
        <w:right w:val="none" w:sz="0" w:space="0" w:color="auto"/>
      </w:divBdr>
    </w:div>
    <w:div w:id="1959795902">
      <w:bodyDiv w:val="1"/>
      <w:marLeft w:val="0"/>
      <w:marRight w:val="0"/>
      <w:marTop w:val="0"/>
      <w:marBottom w:val="0"/>
      <w:divBdr>
        <w:top w:val="none" w:sz="0" w:space="0" w:color="auto"/>
        <w:left w:val="none" w:sz="0" w:space="0" w:color="auto"/>
        <w:bottom w:val="none" w:sz="0" w:space="0" w:color="auto"/>
        <w:right w:val="none" w:sz="0" w:space="0" w:color="auto"/>
      </w:divBdr>
    </w:div>
    <w:div w:id="1973440917">
      <w:bodyDiv w:val="1"/>
      <w:marLeft w:val="0"/>
      <w:marRight w:val="0"/>
      <w:marTop w:val="0"/>
      <w:marBottom w:val="0"/>
      <w:divBdr>
        <w:top w:val="none" w:sz="0" w:space="0" w:color="auto"/>
        <w:left w:val="none" w:sz="0" w:space="0" w:color="auto"/>
        <w:bottom w:val="none" w:sz="0" w:space="0" w:color="auto"/>
        <w:right w:val="none" w:sz="0" w:space="0" w:color="auto"/>
      </w:divBdr>
    </w:div>
    <w:div w:id="1997026050">
      <w:bodyDiv w:val="1"/>
      <w:marLeft w:val="0"/>
      <w:marRight w:val="0"/>
      <w:marTop w:val="0"/>
      <w:marBottom w:val="0"/>
      <w:divBdr>
        <w:top w:val="none" w:sz="0" w:space="0" w:color="auto"/>
        <w:left w:val="none" w:sz="0" w:space="0" w:color="auto"/>
        <w:bottom w:val="none" w:sz="0" w:space="0" w:color="auto"/>
        <w:right w:val="none" w:sz="0" w:space="0" w:color="auto"/>
      </w:divBdr>
    </w:div>
    <w:div w:id="2019574634">
      <w:bodyDiv w:val="1"/>
      <w:marLeft w:val="0"/>
      <w:marRight w:val="0"/>
      <w:marTop w:val="0"/>
      <w:marBottom w:val="0"/>
      <w:divBdr>
        <w:top w:val="none" w:sz="0" w:space="0" w:color="auto"/>
        <w:left w:val="none" w:sz="0" w:space="0" w:color="auto"/>
        <w:bottom w:val="none" w:sz="0" w:space="0" w:color="auto"/>
        <w:right w:val="none" w:sz="0" w:space="0" w:color="auto"/>
      </w:divBdr>
    </w:div>
    <w:div w:id="2033460345">
      <w:bodyDiv w:val="1"/>
      <w:marLeft w:val="0"/>
      <w:marRight w:val="0"/>
      <w:marTop w:val="0"/>
      <w:marBottom w:val="0"/>
      <w:divBdr>
        <w:top w:val="none" w:sz="0" w:space="0" w:color="auto"/>
        <w:left w:val="none" w:sz="0" w:space="0" w:color="auto"/>
        <w:bottom w:val="none" w:sz="0" w:space="0" w:color="auto"/>
        <w:right w:val="none" w:sz="0" w:space="0" w:color="auto"/>
      </w:divBdr>
    </w:div>
    <w:div w:id="2036997725">
      <w:bodyDiv w:val="1"/>
      <w:marLeft w:val="0"/>
      <w:marRight w:val="0"/>
      <w:marTop w:val="0"/>
      <w:marBottom w:val="0"/>
      <w:divBdr>
        <w:top w:val="none" w:sz="0" w:space="0" w:color="auto"/>
        <w:left w:val="none" w:sz="0" w:space="0" w:color="auto"/>
        <w:bottom w:val="none" w:sz="0" w:space="0" w:color="auto"/>
        <w:right w:val="none" w:sz="0" w:space="0" w:color="auto"/>
      </w:divBdr>
    </w:div>
    <w:div w:id="2060088021">
      <w:bodyDiv w:val="1"/>
      <w:marLeft w:val="0"/>
      <w:marRight w:val="0"/>
      <w:marTop w:val="0"/>
      <w:marBottom w:val="0"/>
      <w:divBdr>
        <w:top w:val="none" w:sz="0" w:space="0" w:color="auto"/>
        <w:left w:val="none" w:sz="0" w:space="0" w:color="auto"/>
        <w:bottom w:val="none" w:sz="0" w:space="0" w:color="auto"/>
        <w:right w:val="none" w:sz="0" w:space="0" w:color="auto"/>
      </w:divBdr>
    </w:div>
    <w:div w:id="2112427674">
      <w:bodyDiv w:val="1"/>
      <w:marLeft w:val="0"/>
      <w:marRight w:val="0"/>
      <w:marTop w:val="0"/>
      <w:marBottom w:val="0"/>
      <w:divBdr>
        <w:top w:val="none" w:sz="0" w:space="0" w:color="auto"/>
        <w:left w:val="none" w:sz="0" w:space="0" w:color="auto"/>
        <w:bottom w:val="none" w:sz="0" w:space="0" w:color="auto"/>
        <w:right w:val="none" w:sz="0" w:space="0" w:color="auto"/>
      </w:divBdr>
    </w:div>
    <w:div w:id="2115512026">
      <w:bodyDiv w:val="1"/>
      <w:marLeft w:val="0"/>
      <w:marRight w:val="0"/>
      <w:marTop w:val="0"/>
      <w:marBottom w:val="0"/>
      <w:divBdr>
        <w:top w:val="none" w:sz="0" w:space="0" w:color="auto"/>
        <w:left w:val="none" w:sz="0" w:space="0" w:color="auto"/>
        <w:bottom w:val="none" w:sz="0" w:space="0" w:color="auto"/>
        <w:right w:val="none" w:sz="0" w:space="0" w:color="auto"/>
      </w:divBdr>
    </w:div>
    <w:div w:id="2132747106">
      <w:bodyDiv w:val="1"/>
      <w:marLeft w:val="0"/>
      <w:marRight w:val="0"/>
      <w:marTop w:val="0"/>
      <w:marBottom w:val="0"/>
      <w:divBdr>
        <w:top w:val="none" w:sz="0" w:space="0" w:color="auto"/>
        <w:left w:val="none" w:sz="0" w:space="0" w:color="auto"/>
        <w:bottom w:val="none" w:sz="0" w:space="0" w:color="auto"/>
        <w:right w:val="none" w:sz="0" w:space="0" w:color="auto"/>
      </w:divBdr>
    </w:div>
    <w:div w:id="2146965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87399.themediaframe.eu/links/titan230322.html" TargetMode="Externa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https://ir.titan-cemen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2\12month%202022\Press%20Release%20Tables%20FY%202022.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2827732852519"/>
          <c:y val="0.13715043900687351"/>
          <c:w val="0.67799960827715988"/>
          <c:h val="0.77320409558064807"/>
        </c:manualLayout>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2A12-4DA1-9FEC-1EDC6B4DA516}"/>
              </c:ext>
            </c:extLst>
          </c:dPt>
          <c:dPt>
            <c:idx val="1"/>
            <c:bubble3D val="0"/>
            <c:spPr>
              <a:solidFill>
                <a:srgbClr val="C7C8CA"/>
              </a:solidFill>
              <a:ln w="19050">
                <a:noFill/>
              </a:ln>
              <a:effectLst/>
            </c:spPr>
            <c:extLst>
              <c:ext xmlns:c16="http://schemas.microsoft.com/office/drawing/2014/chart" uri="{C3380CC4-5D6E-409C-BE32-E72D297353CC}">
                <c16:uniqueId val="{00000003-2A12-4DA1-9FEC-1EDC6B4DA516}"/>
              </c:ext>
            </c:extLst>
          </c:dPt>
          <c:val>
            <c:numRef>
              <c:f>(Values!$G$7,Values!$J$27)</c:f>
              <c:numCache>
                <c:formatCode>General</c:formatCode>
                <c:ptCount val="2"/>
                <c:pt idx="0">
                  <c:v>1304.5</c:v>
                </c:pt>
                <c:pt idx="1">
                  <c:v>967.90000000000009</c:v>
                </c:pt>
              </c:numCache>
            </c:numRef>
          </c:val>
          <c:extLst>
            <c:ext xmlns:c16="http://schemas.microsoft.com/office/drawing/2014/chart" uri="{C3380CC4-5D6E-409C-BE32-E72D297353CC}">
              <c16:uniqueId val="{00000004-2A12-4DA1-9FEC-1EDC6B4DA516}"/>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0505902309276"/>
          <c:y val="8.7301587301587297E-2"/>
          <c:w val="0.76387928995314824"/>
          <c:h val="0.82539682539682535"/>
        </c:manualLayout>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B67F-43A5-9CD0-B2AE577B047F}"/>
              </c:ext>
            </c:extLst>
          </c:dPt>
          <c:dPt>
            <c:idx val="1"/>
            <c:bubble3D val="0"/>
            <c:spPr>
              <a:solidFill>
                <a:srgbClr val="C7C8CA"/>
              </a:solidFill>
              <a:ln w="19050">
                <a:noFill/>
              </a:ln>
              <a:effectLst/>
            </c:spPr>
            <c:extLst>
              <c:ext xmlns:c16="http://schemas.microsoft.com/office/drawing/2014/chart" uri="{C3380CC4-5D6E-409C-BE32-E72D297353CC}">
                <c16:uniqueId val="{00000003-B67F-43A5-9CD0-B2AE577B047F}"/>
              </c:ext>
            </c:extLst>
          </c:dPt>
          <c:val>
            <c:numRef>
              <c:f>(Values!$S$7,Values!$J$84)</c:f>
              <c:numCache>
                <c:formatCode>General</c:formatCode>
                <c:ptCount val="2"/>
                <c:pt idx="0">
                  <c:v>255.6</c:v>
                </c:pt>
                <c:pt idx="1">
                  <c:v>2016.8000000000002</c:v>
                </c:pt>
              </c:numCache>
            </c:numRef>
          </c:val>
          <c:extLst>
            <c:ext xmlns:c16="http://schemas.microsoft.com/office/drawing/2014/chart" uri="{C3380CC4-5D6E-409C-BE32-E72D297353CC}">
              <c16:uniqueId val="{00000004-B67F-43A5-9CD0-B2AE577B047F}"/>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00183D"/>
              </a:solidFill>
              <a:ln w="19050">
                <a:solidFill>
                  <a:schemeClr val="lt1"/>
                </a:solidFill>
              </a:ln>
              <a:effectLst/>
            </c:spPr>
            <c:extLst>
              <c:ext xmlns:c16="http://schemas.microsoft.com/office/drawing/2014/chart" uri="{C3380CC4-5D6E-409C-BE32-E72D297353CC}">
                <c16:uniqueId val="{00000001-BDC9-48B0-80D5-BF32E571FAA0}"/>
              </c:ext>
            </c:extLst>
          </c:dPt>
          <c:dPt>
            <c:idx val="1"/>
            <c:bubble3D val="0"/>
            <c:spPr>
              <a:solidFill>
                <a:srgbClr val="C7C8CA"/>
              </a:solidFill>
              <a:ln w="19050">
                <a:solidFill>
                  <a:schemeClr val="lt1"/>
                </a:solidFill>
              </a:ln>
              <a:effectLst/>
            </c:spPr>
            <c:extLst>
              <c:ext xmlns:c16="http://schemas.microsoft.com/office/drawing/2014/chart" uri="{C3380CC4-5D6E-409C-BE32-E72D297353CC}">
                <c16:uniqueId val="{00000003-BDC9-48B0-80D5-BF32E571FAA0}"/>
              </c:ext>
            </c:extLst>
          </c:dPt>
          <c:val>
            <c:numRef>
              <c:f>(Values!$S$8,Values!$K$84)</c:f>
              <c:numCache>
                <c:formatCode>General</c:formatCode>
                <c:ptCount val="2"/>
                <c:pt idx="0">
                  <c:v>19.600000000000001</c:v>
                </c:pt>
                <c:pt idx="1">
                  <c:v>311.29999999999995</c:v>
                </c:pt>
              </c:numCache>
            </c:numRef>
          </c:val>
          <c:extLst>
            <c:ext xmlns:c16="http://schemas.microsoft.com/office/drawing/2014/chart" uri="{C3380CC4-5D6E-409C-BE32-E72D297353CC}">
              <c16:uniqueId val="{00000004-BDC9-48B0-80D5-BF32E571FAA0}"/>
            </c:ext>
          </c:extLst>
        </c:ser>
        <c:dLbls>
          <c:showLegendKey val="0"/>
          <c:showVal val="0"/>
          <c:showCatName val="0"/>
          <c:showSerName val="0"/>
          <c:showPercent val="0"/>
          <c:showBubbleSize val="0"/>
          <c:showLeaderLines val="1"/>
        </c:dLbls>
        <c:firstSliceAng val="0"/>
        <c:holeSize val="88"/>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C7C8CA"/>
            </a:solidFill>
            <a:ln>
              <a:noFill/>
            </a:ln>
          </c:spPr>
          <c:dPt>
            <c:idx val="0"/>
            <c:bubble3D val="0"/>
            <c:spPr>
              <a:solidFill>
                <a:srgbClr val="00183D"/>
              </a:solidFill>
              <a:ln w="19050">
                <a:noFill/>
              </a:ln>
              <a:effectLst/>
            </c:spPr>
            <c:extLst>
              <c:ext xmlns:c16="http://schemas.microsoft.com/office/drawing/2014/chart" uri="{C3380CC4-5D6E-409C-BE32-E72D297353CC}">
                <c16:uniqueId val="{00000001-811F-488F-B8A3-FDAF143E43F5}"/>
              </c:ext>
            </c:extLst>
          </c:dPt>
          <c:dPt>
            <c:idx val="1"/>
            <c:bubble3D val="0"/>
            <c:spPr>
              <a:solidFill>
                <a:srgbClr val="C7C8CA"/>
              </a:solidFill>
              <a:ln w="19050">
                <a:noFill/>
              </a:ln>
              <a:effectLst/>
            </c:spPr>
            <c:extLst>
              <c:ext xmlns:c16="http://schemas.microsoft.com/office/drawing/2014/chart" uri="{C3380CC4-5D6E-409C-BE32-E72D297353CC}">
                <c16:uniqueId val="{00000003-811F-488F-B8A3-FDAF143E43F5}"/>
              </c:ext>
            </c:extLst>
          </c:dPt>
          <c:val>
            <c:numRef>
              <c:f>(Values!$S$9,Values!$L$84)</c:f>
              <c:numCache>
                <c:formatCode>General</c:formatCode>
                <c:ptCount val="2"/>
                <c:pt idx="0">
                  <c:v>449.5</c:v>
                </c:pt>
                <c:pt idx="1">
                  <c:v>2549.9</c:v>
                </c:pt>
              </c:numCache>
            </c:numRef>
          </c:val>
          <c:extLst>
            <c:ext xmlns:c16="http://schemas.microsoft.com/office/drawing/2014/chart" uri="{C3380CC4-5D6E-409C-BE32-E72D297353CC}">
              <c16:uniqueId val="{00000004-811F-488F-B8A3-FDAF143E43F5}"/>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9955657491472"/>
          <c:y val="8.7301587301587297E-2"/>
          <c:w val="0.76190432239951411"/>
          <c:h val="0.82539682539682535"/>
        </c:manualLayout>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5B2B-46DB-A044-0F23B04B9A8B}"/>
              </c:ext>
            </c:extLst>
          </c:dPt>
          <c:dPt>
            <c:idx val="1"/>
            <c:bubble3D val="0"/>
            <c:spPr>
              <a:solidFill>
                <a:srgbClr val="C7C8CA"/>
              </a:solidFill>
              <a:ln w="19050">
                <a:noFill/>
              </a:ln>
              <a:effectLst/>
            </c:spPr>
            <c:extLst>
              <c:ext xmlns:c16="http://schemas.microsoft.com/office/drawing/2014/chart" uri="{C3380CC4-5D6E-409C-BE32-E72D297353CC}">
                <c16:uniqueId val="{00000003-5B2B-46DB-A044-0F23B04B9A8B}"/>
              </c:ext>
            </c:extLst>
          </c:dPt>
          <c:val>
            <c:numRef>
              <c:f>(Values!$G$8,Values!$K$27)</c:f>
              <c:numCache>
                <c:formatCode>General</c:formatCode>
                <c:ptCount val="2"/>
                <c:pt idx="0">
                  <c:v>187.7</c:v>
                </c:pt>
                <c:pt idx="1">
                  <c:v>143.19999999999999</c:v>
                </c:pt>
              </c:numCache>
            </c:numRef>
          </c:val>
          <c:extLst>
            <c:ext xmlns:c16="http://schemas.microsoft.com/office/drawing/2014/chart" uri="{C3380CC4-5D6E-409C-BE32-E72D297353CC}">
              <c16:uniqueId val="{00000004-5B2B-46DB-A044-0F23B04B9A8B}"/>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0133685055096"/>
          <c:y val="4.7619047619047616E-2"/>
          <c:w val="0.79905104390942205"/>
          <c:h val="0.86507936507936511"/>
        </c:manualLayout>
      </c:layout>
      <c:doughnutChart>
        <c:varyColors val="1"/>
        <c:ser>
          <c:idx val="0"/>
          <c:order val="0"/>
          <c:spPr>
            <a:solidFill>
              <a:srgbClr val="C7C8CA"/>
            </a:solidFill>
            <a:ln>
              <a:noFill/>
            </a:ln>
          </c:spPr>
          <c:dPt>
            <c:idx val="0"/>
            <c:bubble3D val="0"/>
            <c:spPr>
              <a:solidFill>
                <a:srgbClr val="00183D"/>
              </a:solidFill>
              <a:ln w="19050">
                <a:noFill/>
              </a:ln>
              <a:effectLst/>
            </c:spPr>
            <c:extLst>
              <c:ext xmlns:c16="http://schemas.microsoft.com/office/drawing/2014/chart" uri="{C3380CC4-5D6E-409C-BE32-E72D297353CC}">
                <c16:uniqueId val="{00000001-5E0A-48F6-871A-C90C9F86563C}"/>
              </c:ext>
            </c:extLst>
          </c:dPt>
          <c:dPt>
            <c:idx val="1"/>
            <c:bubble3D val="0"/>
            <c:spPr>
              <a:solidFill>
                <a:srgbClr val="C7C8CA"/>
              </a:solidFill>
              <a:ln w="19050">
                <a:noFill/>
              </a:ln>
              <a:effectLst/>
            </c:spPr>
            <c:extLst>
              <c:ext xmlns:c16="http://schemas.microsoft.com/office/drawing/2014/chart" uri="{C3380CC4-5D6E-409C-BE32-E72D297353CC}">
                <c16:uniqueId val="{00000003-5E0A-48F6-871A-C90C9F86563C}"/>
              </c:ext>
            </c:extLst>
          </c:dPt>
          <c:val>
            <c:numRef>
              <c:f>(Values!$G$9,Values!$L$27)</c:f>
              <c:numCache>
                <c:formatCode>General</c:formatCode>
                <c:ptCount val="2"/>
                <c:pt idx="0">
                  <c:v>1360.3</c:v>
                </c:pt>
                <c:pt idx="1">
                  <c:v>1639.1000000000001</c:v>
                </c:pt>
              </c:numCache>
            </c:numRef>
          </c:val>
          <c:extLst>
            <c:ext xmlns:c16="http://schemas.microsoft.com/office/drawing/2014/chart" uri="{C3380CC4-5D6E-409C-BE32-E72D297353CC}">
              <c16:uniqueId val="{00000004-5E0A-48F6-871A-C90C9F86563C}"/>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3E4F-4BDF-83A6-34F61D795C21}"/>
              </c:ext>
            </c:extLst>
          </c:dPt>
          <c:dPt>
            <c:idx val="1"/>
            <c:bubble3D val="0"/>
            <c:spPr>
              <a:solidFill>
                <a:srgbClr val="C7C8CA"/>
              </a:solidFill>
              <a:ln w="19050">
                <a:noFill/>
              </a:ln>
              <a:effectLst/>
            </c:spPr>
            <c:extLst>
              <c:ext xmlns:c16="http://schemas.microsoft.com/office/drawing/2014/chart" uri="{C3380CC4-5D6E-409C-BE32-E72D297353CC}">
                <c16:uniqueId val="{00000003-3E4F-4BDF-83A6-34F61D795C21}"/>
              </c:ext>
            </c:extLst>
          </c:dPt>
          <c:val>
            <c:numRef>
              <c:f>(Values!$K$7,Values!$J$49)</c:f>
              <c:numCache>
                <c:formatCode>General</c:formatCode>
                <c:ptCount val="2"/>
                <c:pt idx="0">
                  <c:v>326.39999999999998</c:v>
                </c:pt>
                <c:pt idx="1">
                  <c:v>1946</c:v>
                </c:pt>
              </c:numCache>
            </c:numRef>
          </c:val>
          <c:extLst>
            <c:ext xmlns:c16="http://schemas.microsoft.com/office/drawing/2014/chart" uri="{C3380CC4-5D6E-409C-BE32-E72D297353CC}">
              <c16:uniqueId val="{00000004-3E4F-4BDF-83A6-34F61D795C21}"/>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C1C7-4A61-95D1-711C682CD18D}"/>
              </c:ext>
            </c:extLst>
          </c:dPt>
          <c:dPt>
            <c:idx val="1"/>
            <c:bubble3D val="0"/>
            <c:spPr>
              <a:solidFill>
                <a:srgbClr val="C7C8CA"/>
              </a:solidFill>
              <a:ln w="19050">
                <a:noFill/>
              </a:ln>
              <a:effectLst/>
            </c:spPr>
            <c:extLst>
              <c:ext xmlns:c16="http://schemas.microsoft.com/office/drawing/2014/chart" uri="{C3380CC4-5D6E-409C-BE32-E72D297353CC}">
                <c16:uniqueId val="{00000003-C1C7-4A61-95D1-711C682CD18D}"/>
              </c:ext>
            </c:extLst>
          </c:dPt>
          <c:val>
            <c:numRef>
              <c:f>(Values!$K$8,Values!$K$49)</c:f>
              <c:numCache>
                <c:formatCode>General</c:formatCode>
                <c:ptCount val="2"/>
                <c:pt idx="0">
                  <c:v>28.5</c:v>
                </c:pt>
                <c:pt idx="1">
                  <c:v>302.39999999999998</c:v>
                </c:pt>
              </c:numCache>
            </c:numRef>
          </c:val>
          <c:extLst>
            <c:ext xmlns:c16="http://schemas.microsoft.com/office/drawing/2014/chart" uri="{C3380CC4-5D6E-409C-BE32-E72D297353CC}">
              <c16:uniqueId val="{00000004-C1C7-4A61-95D1-711C682CD18D}"/>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93E6-46FF-A6BF-132079D420D6}"/>
              </c:ext>
            </c:extLst>
          </c:dPt>
          <c:dPt>
            <c:idx val="1"/>
            <c:bubble3D val="0"/>
            <c:spPr>
              <a:solidFill>
                <a:srgbClr val="C7C8CA"/>
              </a:solidFill>
              <a:ln w="19050">
                <a:noFill/>
              </a:ln>
              <a:effectLst/>
            </c:spPr>
            <c:extLst>
              <c:ext xmlns:c16="http://schemas.microsoft.com/office/drawing/2014/chart" uri="{C3380CC4-5D6E-409C-BE32-E72D297353CC}">
                <c16:uniqueId val="{00000003-93E6-46FF-A6BF-132079D420D6}"/>
              </c:ext>
            </c:extLst>
          </c:dPt>
          <c:val>
            <c:numRef>
              <c:f>(Values!$K$9,Values!$L$49)</c:f>
              <c:numCache>
                <c:formatCode>General</c:formatCode>
                <c:ptCount val="2"/>
                <c:pt idx="0">
                  <c:v>699.8</c:v>
                </c:pt>
                <c:pt idx="1">
                  <c:v>2299.6000000000004</c:v>
                </c:pt>
              </c:numCache>
            </c:numRef>
          </c:val>
          <c:extLst>
            <c:ext xmlns:c16="http://schemas.microsoft.com/office/drawing/2014/chart" uri="{C3380CC4-5D6E-409C-BE32-E72D297353CC}">
              <c16:uniqueId val="{00000004-93E6-46FF-A6BF-132079D420D6}"/>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10A7-422E-8387-47C41AAE0280}"/>
              </c:ext>
            </c:extLst>
          </c:dPt>
          <c:dPt>
            <c:idx val="1"/>
            <c:bubble3D val="0"/>
            <c:spPr>
              <a:solidFill>
                <a:srgbClr val="C7C8CA"/>
              </a:solidFill>
              <a:ln w="19050">
                <a:noFill/>
              </a:ln>
              <a:effectLst/>
            </c:spPr>
            <c:extLst>
              <c:ext xmlns:c16="http://schemas.microsoft.com/office/drawing/2014/chart" uri="{C3380CC4-5D6E-409C-BE32-E72D297353CC}">
                <c16:uniqueId val="{00000003-10A7-422E-8387-47C41AAE0280}"/>
              </c:ext>
            </c:extLst>
          </c:dPt>
          <c:val>
            <c:numRef>
              <c:f>(Values!$O$7,Values!$J$67)</c:f>
              <c:numCache>
                <c:formatCode>General</c:formatCode>
                <c:ptCount val="2"/>
                <c:pt idx="0">
                  <c:v>385.9</c:v>
                </c:pt>
                <c:pt idx="1">
                  <c:v>1886.5</c:v>
                </c:pt>
              </c:numCache>
            </c:numRef>
          </c:val>
          <c:extLst>
            <c:ext xmlns:c16="http://schemas.microsoft.com/office/drawing/2014/chart" uri="{C3380CC4-5D6E-409C-BE32-E72D297353CC}">
              <c16:uniqueId val="{00000004-10A7-422E-8387-47C41AAE0280}"/>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889E-4CC7-A0DF-634E089F92F4}"/>
              </c:ext>
            </c:extLst>
          </c:dPt>
          <c:dPt>
            <c:idx val="1"/>
            <c:bubble3D val="0"/>
            <c:spPr>
              <a:solidFill>
                <a:srgbClr val="C7C8CA"/>
              </a:solidFill>
              <a:ln w="19050">
                <a:noFill/>
              </a:ln>
              <a:effectLst/>
            </c:spPr>
            <c:extLst>
              <c:ext xmlns:c16="http://schemas.microsoft.com/office/drawing/2014/chart" uri="{C3380CC4-5D6E-409C-BE32-E72D297353CC}">
                <c16:uniqueId val="{00000003-889E-4CC7-A0DF-634E089F92F4}"/>
              </c:ext>
            </c:extLst>
          </c:dPt>
          <c:val>
            <c:numRef>
              <c:f>(Values!$O$8,Values!$K$67)</c:f>
              <c:numCache>
                <c:formatCode>General</c:formatCode>
                <c:ptCount val="2"/>
                <c:pt idx="0">
                  <c:v>95.1</c:v>
                </c:pt>
                <c:pt idx="1">
                  <c:v>235.79999999999998</c:v>
                </c:pt>
              </c:numCache>
            </c:numRef>
          </c:val>
          <c:extLst>
            <c:ext xmlns:c16="http://schemas.microsoft.com/office/drawing/2014/chart" uri="{C3380CC4-5D6E-409C-BE32-E72D297353CC}">
              <c16:uniqueId val="{00000004-889E-4CC7-A0DF-634E089F92F4}"/>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4B6E-43D9-85FB-428DD68591F7}"/>
              </c:ext>
            </c:extLst>
          </c:dPt>
          <c:dPt>
            <c:idx val="1"/>
            <c:bubble3D val="0"/>
            <c:spPr>
              <a:solidFill>
                <a:srgbClr val="C7C8CA"/>
              </a:solidFill>
              <a:ln w="19050">
                <a:noFill/>
              </a:ln>
              <a:effectLst/>
            </c:spPr>
            <c:extLst>
              <c:ext xmlns:c16="http://schemas.microsoft.com/office/drawing/2014/chart" uri="{C3380CC4-5D6E-409C-BE32-E72D297353CC}">
                <c16:uniqueId val="{00000003-4B6E-43D9-85FB-428DD68591F7}"/>
              </c:ext>
            </c:extLst>
          </c:dPt>
          <c:val>
            <c:numRef>
              <c:f>(Values!$O$9,Values!$L$67)</c:f>
              <c:numCache>
                <c:formatCode>General</c:formatCode>
                <c:ptCount val="2"/>
                <c:pt idx="0">
                  <c:v>489.7</c:v>
                </c:pt>
                <c:pt idx="1">
                  <c:v>2509.7000000000003</c:v>
                </c:pt>
              </c:numCache>
            </c:numRef>
          </c:val>
          <c:extLst>
            <c:ext xmlns:c16="http://schemas.microsoft.com/office/drawing/2014/chart" uri="{C3380CC4-5D6E-409C-BE32-E72D297353CC}">
              <c16:uniqueId val="{00000004-4B6E-43D9-85FB-428DD68591F7}"/>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0.1156</cdr:x>
      <cdr:y>0.0256</cdr:y>
    </cdr:from>
    <cdr:to>
      <cdr:x>0.94016</cdr:x>
      <cdr:y>0.77627</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88288" y="36576"/>
          <a:ext cx="1343023" cy="107252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1,314.3m</a:t>
          </a:r>
        </a:p>
        <a:p xmlns:a="http://schemas.openxmlformats.org/drawingml/2006/main">
          <a:pPr algn="ctr"/>
          <a:r>
            <a:rPr lang="en-US" sz="700" baseline="0">
              <a:solidFill>
                <a:srgbClr val="00183D"/>
              </a:solidFill>
            </a:rPr>
            <a:t>(2021:</a:t>
          </a:r>
          <a:r>
            <a:rPr lang="el-GR" sz="700" baseline="0">
              <a:solidFill>
                <a:srgbClr val="00183D"/>
              </a:solidFill>
            </a:rPr>
            <a:t> €</a:t>
          </a:r>
          <a:r>
            <a:rPr lang="en-US" sz="700" baseline="0">
              <a:solidFill>
                <a:srgbClr val="00183D"/>
              </a:solidFill>
            </a:rPr>
            <a:t>983.6m) </a:t>
          </a:r>
          <a:endParaRPr lang="en-US" sz="700">
            <a:solidFill>
              <a:srgbClr val="00183D"/>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0.16484</cdr:x>
      <cdr:y>0.1369</cdr:y>
    </cdr:from>
    <cdr:to>
      <cdr:x>0.90909</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84465" y="214772"/>
          <a:ext cx="1284358" cy="112993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255.6m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172.8m) </a:t>
          </a:r>
          <a:endParaRPr lang="en-US" sz="700">
            <a:solidFill>
              <a:srgbClr val="00183D"/>
            </a:solidFill>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0.14573</cdr:x>
      <cdr:y>0.12698</cdr:y>
    </cdr:from>
    <cdr:to>
      <cdr:x>0.85768</cdr:x>
      <cdr:y>0.86291</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51583" y="190500"/>
          <a:ext cx="1229122" cy="1104029"/>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19.6m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11.8m) </a:t>
          </a:r>
          <a:endParaRPr lang="en-US" sz="800">
            <a:solidFill>
              <a:srgbClr val="00183D"/>
            </a:solidFil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0.10996</cdr:x>
      <cdr:y>0.14881</cdr:y>
    </cdr:from>
    <cdr:to>
      <cdr:x>0.87322</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90499" y="238126"/>
          <a:ext cx="1322294" cy="1133469"/>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l-GR" sz="1200" b="1" baseline="0">
              <a:solidFill>
                <a:srgbClr val="C00000"/>
              </a:solidFill>
            </a:rPr>
            <a:t>4</a:t>
          </a:r>
          <a:r>
            <a:rPr lang="en-US" sz="1200" b="1" baseline="0">
              <a:solidFill>
                <a:srgbClr val="C00000"/>
              </a:solidFill>
            </a:rPr>
            <a:t>42.8m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447.2m) </a:t>
          </a:r>
          <a:endParaRPr lang="en-US" sz="700">
            <a:solidFill>
              <a:srgbClr val="00183D"/>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0.15638</cdr:x>
      <cdr:y>0</cdr:y>
    </cdr:from>
    <cdr:to>
      <cdr:x>0.87819</cdr:x>
      <cdr:y>0.75166</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45771" y="-2428646"/>
          <a:ext cx="1134414" cy="1045296"/>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188.2m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158.0m) </a:t>
          </a:r>
          <a:endParaRPr lang="en-US" sz="700">
            <a:solidFill>
              <a:srgbClr val="00183D"/>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0.02932</cdr:x>
      <cdr:y>0</cdr:y>
    </cdr:from>
    <cdr:to>
      <cdr:x>1</cdr:x>
      <cdr:y>0.91398</cdr:y>
    </cdr:to>
    <cdr:sp macro="" textlink="">
      <cdr:nvSpPr>
        <cdr:cNvPr id="3" name="Oval 2">
          <a:extLst xmlns:a="http://schemas.openxmlformats.org/drawingml/2006/main">
            <a:ext uri="{FF2B5EF4-FFF2-40B4-BE49-F238E27FC236}">
              <a16:creationId xmlns:a16="http://schemas.microsoft.com/office/drawing/2014/main" id="{A854A886-DBA7-4D3B-A750-A95CC77F5A45}"/>
            </a:ext>
          </a:extLst>
        </cdr:cNvPr>
        <cdr:cNvSpPr/>
      </cdr:nvSpPr>
      <cdr:spPr>
        <a:xfrm xmlns:a="http://schemas.openxmlformats.org/drawingml/2006/main">
          <a:off x="48594" y="-2523744"/>
          <a:ext cx="1608756" cy="118397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1,362.2m</a:t>
          </a:r>
        </a:p>
        <a:p xmlns:a="http://schemas.openxmlformats.org/drawingml/2006/main">
          <a:pPr algn="ctr"/>
          <a:r>
            <a:rPr lang="en-US" sz="700" baseline="0">
              <a:solidFill>
                <a:srgbClr val="00183D"/>
              </a:solidFill>
            </a:rPr>
            <a:t>(2021:</a:t>
          </a:r>
          <a:r>
            <a:rPr lang="el-GR" sz="700" baseline="0">
              <a:solidFill>
                <a:srgbClr val="00183D"/>
              </a:solidFill>
            </a:rPr>
            <a:t> €</a:t>
          </a:r>
          <a:r>
            <a:rPr lang="en-US" sz="700" baseline="0">
              <a:solidFill>
                <a:srgbClr val="00183D"/>
              </a:solidFill>
            </a:rPr>
            <a:t>1,133.3m)</a:t>
          </a:r>
        </a:p>
        <a:p xmlns:a="http://schemas.openxmlformats.org/drawingml/2006/main">
          <a:pPr algn="ctr"/>
          <a:endParaRPr lang="en-US" sz="700" baseline="0">
            <a:solidFill>
              <a:srgbClr val="00183D"/>
            </a:solidFill>
          </a:endParaRPr>
        </a:p>
        <a:p xmlns:a="http://schemas.openxmlformats.org/drawingml/2006/main">
          <a:pPr algn="ctr"/>
          <a:endParaRPr lang="en-US" sz="700" baseline="0">
            <a:solidFill>
              <a:srgbClr val="00183D"/>
            </a:solidFill>
          </a:endParaRPr>
        </a:p>
        <a:p xmlns:a="http://schemas.openxmlformats.org/drawingml/2006/main">
          <a:pPr algn="ctr"/>
          <a:r>
            <a:rPr lang="en-US" sz="700" baseline="0">
              <a:solidFill>
                <a:srgbClr val="00183D"/>
              </a:solidFill>
            </a:rPr>
            <a:t> </a:t>
          </a:r>
          <a:endParaRPr lang="en-US" sz="700">
            <a:solidFill>
              <a:srgbClr val="00183D"/>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0.16484</cdr:x>
      <cdr:y>0.09775</cdr:y>
    </cdr:from>
    <cdr:to>
      <cdr:x>0.87135</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68487" y="137795"/>
          <a:ext cx="1150738" cy="1070515"/>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326.4m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267.6m) </a:t>
          </a:r>
          <a:endParaRPr lang="en-US" sz="700">
            <a:solidFill>
              <a:srgbClr val="00183D"/>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0.17582</cdr:x>
      <cdr:y>0.14881</cdr:y>
    </cdr:from>
    <cdr:to>
      <cdr:x>0.82967</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304799" y="238125"/>
          <a:ext cx="1133475" cy="113347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n-US" sz="1200" b="1" baseline="0">
              <a:solidFill>
                <a:srgbClr val="00183D"/>
              </a:solidFill>
            </a:rPr>
            <a:t> </a:t>
          </a:r>
          <a:r>
            <a:rPr lang="en-US" sz="1200" b="1" baseline="0">
              <a:solidFill>
                <a:srgbClr val="C00000"/>
              </a:solidFill>
              <a:latin typeface="+mn-lt"/>
              <a:ea typeface="+mn-ea"/>
              <a:cs typeface="+mn-cs"/>
            </a:rPr>
            <a:t>28.5m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23.6m) </a:t>
          </a:r>
          <a:endParaRPr lang="en-US" sz="700">
            <a:solidFill>
              <a:srgbClr val="00183D"/>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0.17582</cdr:x>
      <cdr:y>0.08539</cdr:y>
    </cdr:from>
    <cdr:to>
      <cdr:x>0.87283</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89721" y="118745"/>
          <a:ext cx="1148554" cy="1073237"/>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699.8m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631.0m) </a:t>
          </a:r>
          <a:endParaRPr lang="en-US" sz="700">
            <a:solidFill>
              <a:srgbClr val="00183D"/>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0.10191</cdr:x>
      <cdr:y>0.09648</cdr:y>
    </cdr:from>
    <cdr:to>
      <cdr:x>0.93588</cdr:x>
      <cdr:y>0.85242</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52400" y="139065"/>
          <a:ext cx="1247140" cy="1089661"/>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385.9m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290.6m)</a:t>
          </a:r>
          <a:r>
            <a:rPr lang="en-US" sz="800" baseline="0">
              <a:solidFill>
                <a:srgbClr val="00183D"/>
              </a:solidFill>
            </a:rPr>
            <a:t> </a:t>
          </a:r>
          <a:endParaRPr lang="en-US" sz="800">
            <a:solidFill>
              <a:srgbClr val="00183D"/>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0.18436</cdr:x>
      <cdr:y>0.09099</cdr:y>
    </cdr:from>
    <cdr:to>
      <cdr:x>0.83821</cdr:x>
      <cdr:y>0.79932</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314325" y="130810"/>
          <a:ext cx="1114798" cy="1018324"/>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95.0m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81.9m) </a:t>
          </a:r>
          <a:endParaRPr lang="en-US" sz="700">
            <a:solidFill>
              <a:srgbClr val="00183D"/>
            </a:solidFill>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0.13124</cdr:x>
      <cdr:y>0.11922</cdr:y>
    </cdr:from>
    <cdr:to>
      <cdr:x>0.87108</cdr:x>
      <cdr:y>0.85895</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07513" y="167005"/>
          <a:ext cx="1169802" cy="1036225"/>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l-GR" sz="1200" b="1" baseline="0">
              <a:solidFill>
                <a:srgbClr val="C00000"/>
              </a:solidFill>
            </a:rPr>
            <a:t>4</a:t>
          </a:r>
          <a:r>
            <a:rPr lang="en-US" sz="1200" b="1" baseline="0">
              <a:solidFill>
                <a:srgbClr val="C00000"/>
              </a:solidFill>
            </a:rPr>
            <a:t>89.5m</a:t>
          </a:r>
        </a:p>
        <a:p xmlns:a="http://schemas.openxmlformats.org/drawingml/2006/main">
          <a:pPr algn="ctr"/>
          <a:r>
            <a:rPr lang="en-US" sz="700" baseline="0">
              <a:solidFill>
                <a:srgbClr val="00183D"/>
              </a:solidFill>
            </a:rPr>
            <a:t>(2021: </a:t>
          </a:r>
          <a:r>
            <a:rPr lang="el-GR" sz="700" baseline="0">
              <a:solidFill>
                <a:srgbClr val="00183D"/>
              </a:solidFill>
            </a:rPr>
            <a:t>€</a:t>
          </a:r>
          <a:r>
            <a:rPr lang="en-US" sz="700" baseline="0">
              <a:solidFill>
                <a:srgbClr val="00183D"/>
              </a:solidFill>
            </a:rPr>
            <a:t>467.1m) </a:t>
          </a:r>
          <a:endParaRPr lang="en-US" sz="700">
            <a:solidFill>
              <a:srgbClr val="00183D"/>
            </a:solidFill>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242f92-e5ab-4656-9a7b-32378aa2f17a">
      <UserInfo>
        <DisplayName>Chatzigeorgiou Maria</DisplayName>
        <AccountId>3895</AccountId>
        <AccountType/>
      </UserInfo>
      <UserInfo>
        <DisplayName>Gravanis Socrates</DisplayName>
        <AccountId>759</AccountId>
        <AccountType/>
      </UserInfo>
      <UserInfo>
        <DisplayName>Athineou Irini</DisplayName>
        <AccountId>201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F3A2DC8A6F640817D127289A58AD6" ma:contentTypeVersion="6" ma:contentTypeDescription="Create a new document." ma:contentTypeScope="" ma:versionID="2ccbe8f7a87bc33252a91f1b24f73eb4">
  <xsd:schema xmlns:xsd="http://www.w3.org/2001/XMLSchema" xmlns:xs="http://www.w3.org/2001/XMLSchema" xmlns:p="http://schemas.microsoft.com/office/2006/metadata/properties" xmlns:ns2="99524a05-02cc-401f-9794-89c4150732d8" xmlns:ns3="a0242f92-e5ab-4656-9a7b-32378aa2f17a" targetNamespace="http://schemas.microsoft.com/office/2006/metadata/properties" ma:root="true" ma:fieldsID="c264d66e9ba86fa0b9367e00f0dd46b3" ns2:_="" ns3:_="">
    <xsd:import namespace="99524a05-02cc-401f-9794-89c4150732d8"/>
    <xsd:import namespace="a0242f92-e5ab-4656-9a7b-32378aa2f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4a05-02cc-401f-9794-89c41507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42f92-e5ab-4656-9a7b-32378aa2f1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02BC6-1CD4-4C35-BC68-8820D894E051}">
  <ds:schemaRefs>
    <ds:schemaRef ds:uri="http://schemas.openxmlformats.org/officeDocument/2006/bibliography"/>
  </ds:schemaRefs>
</ds:datastoreItem>
</file>

<file path=customXml/itemProps2.xml><?xml version="1.0" encoding="utf-8"?>
<ds:datastoreItem xmlns:ds="http://schemas.openxmlformats.org/officeDocument/2006/customXml" ds:itemID="{BD673796-05D7-45D7-91C2-784253700D92}">
  <ds:schemaRefs>
    <ds:schemaRef ds:uri="http://schemas.microsoft.com/office/2006/metadata/properties"/>
    <ds:schemaRef ds:uri="http://schemas.microsoft.com/office/infopath/2007/PartnerControls"/>
    <ds:schemaRef ds:uri="a0242f92-e5ab-4656-9a7b-32378aa2f17a"/>
  </ds:schemaRefs>
</ds:datastoreItem>
</file>

<file path=customXml/itemProps3.xml><?xml version="1.0" encoding="utf-8"?>
<ds:datastoreItem xmlns:ds="http://schemas.openxmlformats.org/officeDocument/2006/customXml" ds:itemID="{BC405370-934F-4C4D-B873-13622A05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24a05-02cc-401f-9794-89c4150732d8"/>
    <ds:schemaRef ds:uri="a0242f92-e5ab-4656-9a7b-32378aa2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464E5-9FC9-47FD-A6ED-903F429AA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6589</Words>
  <Characters>37562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44063</CharactersWithSpaces>
  <SharedDoc>false</SharedDoc>
  <HyperlinkBase/>
  <HLinks>
    <vt:vector size="12" baseType="variant">
      <vt:variant>
        <vt:i4>6094856</vt:i4>
      </vt:variant>
      <vt:variant>
        <vt:i4>3</vt:i4>
      </vt:variant>
      <vt:variant>
        <vt:i4>0</vt:i4>
      </vt:variant>
      <vt:variant>
        <vt:i4>5</vt:i4>
      </vt:variant>
      <vt:variant>
        <vt:lpwstr>https://87399.themediaframe.eu/links/titan230322.html</vt:lpwstr>
      </vt:variant>
      <vt:variant>
        <vt:lpwstr/>
      </vt:variant>
      <vt:variant>
        <vt:i4>196696</vt:i4>
      </vt:variant>
      <vt:variant>
        <vt:i4>0</vt:i4>
      </vt:variant>
      <vt:variant>
        <vt:i4>0</vt:i4>
      </vt:variant>
      <vt:variant>
        <vt:i4>5</vt:i4>
      </vt:variant>
      <vt:variant>
        <vt:lpwstr>https://ir.titan-cement.com/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Fintikaki Marilena</dc:creator>
  <cp:keywords/>
  <dc:description/>
  <cp:lastModifiedBy>stockwatch2</cp:lastModifiedBy>
  <cp:revision>2</cp:revision>
  <cp:lastPrinted>2023-03-22T07:07:00Z</cp:lastPrinted>
  <dcterms:created xsi:type="dcterms:W3CDTF">2023-03-23T09:56:00Z</dcterms:created>
  <dcterms:modified xsi:type="dcterms:W3CDTF">2023-03-23T09:56:00Z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0x010100C9EF3A2DC8A6F640817D127289A58AD6</vt:lpwstr>
  </property>
  <property fmtid="{D5CDD505-2E9C-101B-9397-08002B2CF9AE}" pid="3" name="GrammarlyDocumentId">
    <vt:lpwstr>6e1b800ca94d438e91de71a77d05645ffe076525db6015f731075d762a97eb7d</vt:lpwstr>
  </property>
</Properties>
</file>