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2E2CE" w14:textId="77777777" w:rsidR="00F575A4" w:rsidRPr="0018547A" w:rsidRDefault="00F575A4" w:rsidP="00F575A4">
      <w:pPr>
        <w:pStyle w:val="A"/>
        <w:jc w:val="both"/>
        <w:rPr>
          <w:rFonts w:ascii="Calibri" w:hAnsi="Calibri" w:cs="Calibri"/>
          <w:sz w:val="40"/>
          <w:szCs w:val="40"/>
          <w:lang w:val="el-GR"/>
        </w:rPr>
      </w:pPr>
      <w:r w:rsidRPr="0018547A">
        <w:rPr>
          <w:rFonts w:ascii="Calibri" w:hAnsi="Calibri"/>
          <w:sz w:val="40"/>
          <w:lang w:val="el-GR"/>
        </w:rPr>
        <w:t xml:space="preserve">Αποτελέσματα </w:t>
      </w:r>
      <w:r>
        <w:rPr>
          <w:rFonts w:ascii="Calibri" w:hAnsi="Calibri"/>
          <w:sz w:val="40"/>
          <w:lang w:val="el-GR"/>
        </w:rPr>
        <w:t>Α’</w:t>
      </w:r>
      <w:r w:rsidRPr="0018547A">
        <w:rPr>
          <w:rFonts w:ascii="Calibri" w:hAnsi="Calibri"/>
          <w:sz w:val="40"/>
          <w:lang w:val="el-GR"/>
        </w:rPr>
        <w:t xml:space="preserve"> Εξαμήνου 202</w:t>
      </w:r>
      <w:r w:rsidR="009A3584">
        <w:rPr>
          <w:rFonts w:ascii="Calibri" w:hAnsi="Calibri"/>
          <w:sz w:val="40"/>
          <w:lang w:val="el-GR"/>
        </w:rPr>
        <w:t>1</w:t>
      </w:r>
    </w:p>
    <w:p w14:paraId="5142E2CF" w14:textId="77777777" w:rsidR="00BC5EBA" w:rsidRPr="00B9646B" w:rsidRDefault="00BC5EBA" w:rsidP="00F575A4">
      <w:pPr>
        <w:pStyle w:val="Copy"/>
        <w:jc w:val="both"/>
        <w:rPr>
          <w:rFonts w:ascii="Calibri" w:hAnsi="Calibri" w:cstheme="minorBidi"/>
          <w:b/>
          <w:sz w:val="38"/>
          <w:szCs w:val="38"/>
          <w:lang w:val="el-GR"/>
        </w:rPr>
      </w:pPr>
      <w:r w:rsidRPr="00B9646B">
        <w:rPr>
          <w:rFonts w:ascii="Calibri" w:hAnsi="Calibri" w:cstheme="minorBidi"/>
          <w:b/>
          <w:sz w:val="38"/>
          <w:szCs w:val="38"/>
          <w:lang w:val="el-GR"/>
        </w:rPr>
        <w:t>Αύξηση του κύκλου εργασιών και της κερδοφορίας το πρώτο εξάμηνο του έτους</w:t>
      </w:r>
    </w:p>
    <w:p w14:paraId="5142E2D0" w14:textId="77777777" w:rsidR="00F575A4" w:rsidRPr="00D53498" w:rsidRDefault="00F575A4" w:rsidP="00F575A4">
      <w:pPr>
        <w:pStyle w:val="Copy"/>
        <w:jc w:val="both"/>
        <w:rPr>
          <w:rFonts w:ascii="Calibri" w:eastAsia="Calibri" w:hAnsi="Calibri" w:cs="Calibri"/>
          <w:szCs w:val="21"/>
          <w:lang w:val="el-GR"/>
        </w:rPr>
      </w:pPr>
      <w:r w:rsidRPr="00D53498">
        <w:rPr>
          <w:rFonts w:ascii="Calibri" w:eastAsia="Calibri" w:hAnsi="Calibri" w:cs="Calibri"/>
          <w:szCs w:val="21"/>
          <w:lang w:val="el-GR"/>
        </w:rPr>
        <w:t>Βρυξέλλες, 29 Ιουλίου 202</w:t>
      </w:r>
      <w:r w:rsidR="00D53498" w:rsidRPr="00D53498">
        <w:rPr>
          <w:rFonts w:ascii="Calibri" w:eastAsia="Calibri" w:hAnsi="Calibri" w:cs="Calibri"/>
          <w:szCs w:val="21"/>
          <w:lang w:val="el-GR"/>
        </w:rPr>
        <w:t>1</w:t>
      </w:r>
      <w:r w:rsidR="00D53498">
        <w:rPr>
          <w:rFonts w:ascii="Calibri" w:eastAsia="Calibri" w:hAnsi="Calibri" w:cs="Calibri"/>
          <w:szCs w:val="21"/>
          <w:lang w:val="el-GR"/>
        </w:rPr>
        <w:t>, 08:3</w:t>
      </w:r>
      <w:r w:rsidRPr="00D53498">
        <w:rPr>
          <w:rFonts w:ascii="Calibri" w:eastAsia="Calibri" w:hAnsi="Calibri" w:cs="Calibri"/>
          <w:szCs w:val="21"/>
          <w:lang w:val="el-GR"/>
        </w:rPr>
        <w:t xml:space="preserve">0 </w:t>
      </w:r>
      <w:r w:rsidRPr="00D53498">
        <w:rPr>
          <w:rFonts w:ascii="Calibri" w:eastAsia="Calibri" w:hAnsi="Calibri" w:cs="Calibri"/>
          <w:szCs w:val="21"/>
          <w:lang w:val="en-US"/>
        </w:rPr>
        <w:t>CEST</w:t>
      </w:r>
      <w:r w:rsidRPr="00D53498">
        <w:rPr>
          <w:rFonts w:ascii="Calibri" w:eastAsia="Calibri" w:hAnsi="Calibri" w:cs="Calibri"/>
          <w:szCs w:val="21"/>
          <w:lang w:val="el-GR"/>
        </w:rPr>
        <w:t xml:space="preserve"> – Ανακοίνωση αποτελεσμάτων δεύτερου τριμήνου και πρώτου εξαμήνου 202</w:t>
      </w:r>
      <w:r w:rsidR="00BC5EBA" w:rsidRPr="00BC5EBA">
        <w:rPr>
          <w:rFonts w:ascii="Calibri" w:eastAsia="Calibri" w:hAnsi="Calibri" w:cs="Calibri"/>
          <w:szCs w:val="21"/>
          <w:lang w:val="el-GR"/>
        </w:rPr>
        <w:t>1</w:t>
      </w:r>
      <w:r w:rsidRPr="00D53498">
        <w:rPr>
          <w:rFonts w:ascii="Calibri" w:eastAsia="Calibri" w:hAnsi="Calibri" w:cs="Calibri"/>
          <w:szCs w:val="21"/>
          <w:lang w:val="el-GR"/>
        </w:rPr>
        <w:t xml:space="preserve"> από την </w:t>
      </w:r>
      <w:r w:rsidRPr="00D53498">
        <w:rPr>
          <w:rFonts w:ascii="Calibri" w:eastAsia="Calibri" w:hAnsi="Calibri" w:cs="Calibri"/>
          <w:szCs w:val="21"/>
          <w:lang w:val="en-US"/>
        </w:rPr>
        <w:t>Titan</w:t>
      </w:r>
      <w:r w:rsidRPr="00D53498">
        <w:rPr>
          <w:rFonts w:ascii="Calibri" w:eastAsia="Calibri" w:hAnsi="Calibri" w:cs="Calibri"/>
          <w:szCs w:val="21"/>
          <w:lang w:val="el-GR"/>
        </w:rPr>
        <w:t xml:space="preserve"> </w:t>
      </w:r>
      <w:r w:rsidRPr="00D53498">
        <w:rPr>
          <w:rFonts w:ascii="Calibri" w:eastAsia="Calibri" w:hAnsi="Calibri" w:cs="Calibri"/>
          <w:szCs w:val="21"/>
          <w:lang w:val="en-US"/>
        </w:rPr>
        <w:t>Cement</w:t>
      </w:r>
      <w:r w:rsidRPr="00D53498">
        <w:rPr>
          <w:rFonts w:ascii="Calibri" w:eastAsia="Calibri" w:hAnsi="Calibri" w:cs="Calibri"/>
          <w:szCs w:val="21"/>
          <w:lang w:val="el-GR"/>
        </w:rPr>
        <w:t xml:space="preserve"> </w:t>
      </w:r>
      <w:r w:rsidRPr="00D53498">
        <w:rPr>
          <w:rFonts w:ascii="Calibri" w:eastAsia="Calibri" w:hAnsi="Calibri" w:cs="Calibri"/>
          <w:szCs w:val="21"/>
          <w:lang w:val="en-US"/>
        </w:rPr>
        <w:t>International</w:t>
      </w:r>
      <w:r w:rsidRPr="00D53498">
        <w:rPr>
          <w:rFonts w:ascii="Calibri" w:eastAsia="Calibri" w:hAnsi="Calibri" w:cs="Calibri"/>
          <w:szCs w:val="21"/>
          <w:lang w:val="el-GR"/>
        </w:rPr>
        <w:t xml:space="preserve"> </w:t>
      </w:r>
      <w:r w:rsidRPr="00D53498">
        <w:rPr>
          <w:rFonts w:ascii="Calibri" w:eastAsia="Calibri" w:hAnsi="Calibri" w:cs="Calibri"/>
          <w:szCs w:val="21"/>
          <w:lang w:val="en-US"/>
        </w:rPr>
        <w:t>SA</w:t>
      </w:r>
      <w:r w:rsidRPr="00D53498">
        <w:rPr>
          <w:rFonts w:ascii="Calibri" w:eastAsia="Calibri" w:hAnsi="Calibri" w:cs="Calibri"/>
          <w:szCs w:val="21"/>
          <w:lang w:val="el-GR"/>
        </w:rPr>
        <w:t xml:space="preserve"> (</w:t>
      </w:r>
      <w:r w:rsidRPr="00D53498">
        <w:rPr>
          <w:rFonts w:ascii="Calibri" w:eastAsia="Calibri" w:hAnsi="Calibri" w:cs="Calibri"/>
          <w:szCs w:val="21"/>
          <w:lang w:val="en-US"/>
        </w:rPr>
        <w:t>Euronext</w:t>
      </w:r>
      <w:r w:rsidRPr="00D53498">
        <w:rPr>
          <w:rFonts w:ascii="Calibri" w:eastAsia="Calibri" w:hAnsi="Calibri" w:cs="Calibri"/>
          <w:szCs w:val="21"/>
          <w:lang w:val="el-GR"/>
        </w:rPr>
        <w:t xml:space="preserve"> </w:t>
      </w:r>
      <w:r w:rsidRPr="00D53498">
        <w:rPr>
          <w:rFonts w:ascii="Calibri" w:eastAsia="Calibri" w:hAnsi="Calibri" w:cs="Calibri"/>
          <w:szCs w:val="21"/>
          <w:lang w:val="en-US"/>
        </w:rPr>
        <w:t>Brussels</w:t>
      </w:r>
      <w:r w:rsidRPr="00D53498">
        <w:rPr>
          <w:rFonts w:ascii="Calibri" w:eastAsia="Calibri" w:hAnsi="Calibri" w:cs="Calibri"/>
          <w:szCs w:val="21"/>
          <w:lang w:val="el-GR"/>
        </w:rPr>
        <w:t xml:space="preserve">, </w:t>
      </w:r>
      <w:r w:rsidRPr="00D53498">
        <w:rPr>
          <w:rFonts w:ascii="Calibri" w:eastAsia="Calibri" w:hAnsi="Calibri" w:cs="Calibri"/>
          <w:szCs w:val="21"/>
          <w:lang w:val="en-US"/>
        </w:rPr>
        <w:t>ATHEX</w:t>
      </w:r>
      <w:r w:rsidRPr="00D53498">
        <w:rPr>
          <w:rFonts w:ascii="Calibri" w:eastAsia="Calibri" w:hAnsi="Calibri" w:cs="Calibri"/>
          <w:szCs w:val="21"/>
          <w:lang w:val="el-GR"/>
        </w:rPr>
        <w:t xml:space="preserve"> και </w:t>
      </w:r>
      <w:r w:rsidRPr="00D53498">
        <w:rPr>
          <w:rFonts w:ascii="Calibri" w:eastAsia="Calibri" w:hAnsi="Calibri" w:cs="Calibri"/>
          <w:szCs w:val="21"/>
          <w:lang w:val="en-US"/>
        </w:rPr>
        <w:t>Euronext</w:t>
      </w:r>
      <w:r w:rsidRPr="00D53498">
        <w:rPr>
          <w:rFonts w:ascii="Calibri" w:eastAsia="Calibri" w:hAnsi="Calibri" w:cs="Calibri"/>
          <w:szCs w:val="21"/>
          <w:lang w:val="el-GR"/>
        </w:rPr>
        <w:t xml:space="preserve"> </w:t>
      </w:r>
      <w:r w:rsidRPr="00D53498">
        <w:rPr>
          <w:rFonts w:ascii="Calibri" w:eastAsia="Calibri" w:hAnsi="Calibri" w:cs="Calibri"/>
          <w:szCs w:val="21"/>
          <w:lang w:val="en-US"/>
        </w:rPr>
        <w:t>Paris</w:t>
      </w:r>
      <w:r w:rsidRPr="00D53498">
        <w:rPr>
          <w:rFonts w:ascii="Calibri" w:eastAsia="Calibri" w:hAnsi="Calibri" w:cs="Calibri"/>
          <w:szCs w:val="21"/>
          <w:lang w:val="el-GR"/>
        </w:rPr>
        <w:t xml:space="preserve">, </w:t>
      </w:r>
      <w:r w:rsidRPr="00D53498">
        <w:rPr>
          <w:rFonts w:ascii="Calibri" w:eastAsia="Calibri" w:hAnsi="Calibri" w:cs="Calibri"/>
          <w:szCs w:val="21"/>
          <w:lang w:val="en-US"/>
        </w:rPr>
        <w:t>TITC</w:t>
      </w:r>
      <w:r w:rsidRPr="00D53498">
        <w:rPr>
          <w:rFonts w:ascii="Calibri" w:eastAsia="Calibri" w:hAnsi="Calibri" w:cs="Calibri"/>
          <w:szCs w:val="21"/>
          <w:lang w:val="el-GR"/>
        </w:rPr>
        <w:t>).</w:t>
      </w:r>
    </w:p>
    <w:p w14:paraId="5142E2D1" w14:textId="77777777" w:rsidR="00BC5EBA" w:rsidRPr="00BC5EBA" w:rsidRDefault="00BB269E" w:rsidP="00BC5EBA">
      <w:pPr>
        <w:pStyle w:val="Copy"/>
        <w:numPr>
          <w:ilvl w:val="0"/>
          <w:numId w:val="21"/>
        </w:numPr>
        <w:spacing w:after="0"/>
        <w:ind w:left="958" w:hanging="357"/>
        <w:jc w:val="both"/>
        <w:rPr>
          <w:rFonts w:ascii="Calibri" w:hAnsi="Calibri" w:cs="Calibri"/>
          <w:b/>
          <w:color w:val="192D3A" w:themeColor="text2" w:themeShade="80"/>
          <w:sz w:val="22"/>
          <w:lang w:val="el-GR" w:bidi="el-GR"/>
        </w:rPr>
      </w:pPr>
      <w:r>
        <w:rPr>
          <w:rFonts w:ascii="Calibri" w:hAnsi="Calibri" w:cs="Calibri"/>
          <w:b/>
          <w:bCs/>
          <w:color w:val="192D3A" w:themeColor="text2" w:themeShade="80"/>
          <w:sz w:val="22"/>
          <w:lang w:val="el-GR" w:bidi="el-GR"/>
        </w:rPr>
        <w:t>Αύξηση του κύκλου</w:t>
      </w:r>
      <w:r w:rsidR="00BC5EBA" w:rsidRPr="00BC5EBA">
        <w:rPr>
          <w:rFonts w:ascii="Calibri" w:hAnsi="Calibri" w:cs="Calibri"/>
          <w:b/>
          <w:bCs/>
          <w:color w:val="192D3A" w:themeColor="text2" w:themeShade="80"/>
          <w:sz w:val="22"/>
          <w:lang w:val="el-GR" w:bidi="el-GR"/>
        </w:rPr>
        <w:t xml:space="preserve"> εργασιών και </w:t>
      </w:r>
      <w:r>
        <w:rPr>
          <w:rFonts w:ascii="Calibri" w:hAnsi="Calibri" w:cs="Calibri"/>
          <w:b/>
          <w:bCs/>
          <w:color w:val="192D3A" w:themeColor="text2" w:themeShade="80"/>
          <w:sz w:val="22"/>
          <w:lang w:val="el-GR" w:bidi="el-GR"/>
        </w:rPr>
        <w:t>των λειτουργικών κερδών</w:t>
      </w:r>
      <w:r w:rsidR="00BC5EBA" w:rsidRPr="00BC5EBA">
        <w:rPr>
          <w:rFonts w:ascii="Calibri" w:hAnsi="Calibri" w:cs="Calibri"/>
          <w:b/>
          <w:bCs/>
          <w:color w:val="192D3A" w:themeColor="text2" w:themeShade="80"/>
          <w:sz w:val="22"/>
          <w:lang w:val="el-GR" w:bidi="el-GR"/>
        </w:rPr>
        <w:t xml:space="preserve"> (</w:t>
      </w:r>
      <w:r w:rsidR="00BC5EBA" w:rsidRPr="00BC5EBA">
        <w:rPr>
          <w:rFonts w:ascii="Calibri" w:hAnsi="Calibri" w:cs="Calibri"/>
          <w:b/>
          <w:bCs/>
          <w:color w:val="192D3A" w:themeColor="text2" w:themeShade="80"/>
          <w:sz w:val="22"/>
          <w:lang w:bidi="el-GR"/>
        </w:rPr>
        <w:t>EBITDA</w:t>
      </w:r>
      <w:r w:rsidR="00BC5EBA" w:rsidRPr="00BC5EBA">
        <w:rPr>
          <w:rFonts w:ascii="Calibri" w:hAnsi="Calibri" w:cs="Calibri"/>
          <w:b/>
          <w:bCs/>
          <w:color w:val="192D3A" w:themeColor="text2" w:themeShade="80"/>
          <w:sz w:val="22"/>
          <w:lang w:val="el-GR" w:bidi="el-GR"/>
        </w:rPr>
        <w:t>) το πρώτο εξάμηνο του 2021</w:t>
      </w:r>
      <w:r w:rsidR="004F7A39" w:rsidRPr="004F7A39">
        <w:rPr>
          <w:rFonts w:ascii="Calibri" w:hAnsi="Calibri" w:cs="Calibri"/>
          <w:b/>
          <w:bCs/>
          <w:color w:val="192D3A" w:themeColor="text2" w:themeShade="80"/>
          <w:sz w:val="22"/>
          <w:lang w:val="el-GR" w:bidi="el-GR"/>
        </w:rPr>
        <w:t xml:space="preserve">. </w:t>
      </w:r>
      <w:r w:rsidR="004F7A39">
        <w:rPr>
          <w:rFonts w:ascii="Calibri" w:hAnsi="Calibri" w:cs="Calibri"/>
          <w:b/>
          <w:bCs/>
          <w:color w:val="192D3A" w:themeColor="text2" w:themeShade="80"/>
          <w:sz w:val="22"/>
          <w:lang w:val="el-GR" w:bidi="el-GR"/>
        </w:rPr>
        <w:t>Σ</w:t>
      </w:r>
      <w:r>
        <w:rPr>
          <w:rFonts w:ascii="Calibri" w:hAnsi="Calibri" w:cs="Calibri"/>
          <w:b/>
          <w:bCs/>
          <w:color w:val="192D3A" w:themeColor="text2" w:themeShade="80"/>
          <w:sz w:val="22"/>
          <w:lang w:val="el-GR" w:bidi="el-GR"/>
        </w:rPr>
        <w:t xml:space="preserve">ημαντική </w:t>
      </w:r>
      <w:r w:rsidR="004D569C">
        <w:rPr>
          <w:rFonts w:ascii="Calibri" w:hAnsi="Calibri" w:cs="Calibri"/>
          <w:b/>
          <w:bCs/>
          <w:color w:val="192D3A" w:themeColor="text2" w:themeShade="80"/>
          <w:sz w:val="22"/>
          <w:lang w:val="el-GR" w:bidi="el-GR"/>
        </w:rPr>
        <w:t>αύξηση των καθαρών κερδών</w:t>
      </w:r>
    </w:p>
    <w:p w14:paraId="5142E2D2" w14:textId="77777777" w:rsidR="00BC5EBA" w:rsidRPr="00BC5EBA" w:rsidRDefault="00035CC3" w:rsidP="00BC5EBA">
      <w:pPr>
        <w:pStyle w:val="Copy"/>
        <w:numPr>
          <w:ilvl w:val="0"/>
          <w:numId w:val="21"/>
        </w:numPr>
        <w:spacing w:after="0"/>
        <w:ind w:left="958" w:hanging="357"/>
        <w:jc w:val="both"/>
        <w:rPr>
          <w:rFonts w:ascii="Calibri" w:hAnsi="Calibri" w:cs="Calibri"/>
          <w:b/>
          <w:color w:val="192D3A" w:themeColor="text2" w:themeShade="80"/>
          <w:sz w:val="22"/>
          <w:lang w:val="el-GR" w:bidi="el-GR"/>
        </w:rPr>
      </w:pPr>
      <w:r>
        <w:rPr>
          <w:rFonts w:ascii="Calibri" w:hAnsi="Calibri" w:cs="Calibri"/>
          <w:b/>
          <w:color w:val="192D3A" w:themeColor="text2" w:themeShade="80"/>
          <w:sz w:val="22"/>
          <w:lang w:val="el-GR" w:bidi="el-GR"/>
        </w:rPr>
        <w:t>Σταθερ</w:t>
      </w:r>
      <w:r w:rsidR="001D7301">
        <w:rPr>
          <w:rFonts w:ascii="Calibri" w:hAnsi="Calibri" w:cs="Calibri"/>
          <w:b/>
          <w:color w:val="192D3A" w:themeColor="text2" w:themeShade="80"/>
          <w:sz w:val="22"/>
          <w:lang w:val="el-GR" w:bidi="el-GR"/>
        </w:rPr>
        <w:t>ό</w:t>
      </w:r>
      <w:r>
        <w:rPr>
          <w:rFonts w:ascii="Calibri" w:hAnsi="Calibri" w:cs="Calibri"/>
          <w:b/>
          <w:color w:val="192D3A" w:themeColor="text2" w:themeShade="80"/>
          <w:sz w:val="22"/>
          <w:lang w:val="el-GR" w:bidi="el-GR"/>
        </w:rPr>
        <w:t xml:space="preserve"> περιθώριο κερδοφορίας</w:t>
      </w:r>
      <w:r w:rsidR="00BC5EBA" w:rsidRPr="00BC5EBA">
        <w:rPr>
          <w:rFonts w:ascii="Calibri" w:hAnsi="Calibri" w:cs="Calibri"/>
          <w:b/>
          <w:color w:val="192D3A" w:themeColor="text2" w:themeShade="80"/>
          <w:sz w:val="22"/>
          <w:lang w:val="el-GR" w:bidi="el-GR"/>
        </w:rPr>
        <w:t xml:space="preserve">, παρά </w:t>
      </w:r>
      <w:r w:rsidR="00F02AC0">
        <w:rPr>
          <w:rFonts w:ascii="Calibri" w:hAnsi="Calibri" w:cs="Calibri"/>
          <w:b/>
          <w:color w:val="192D3A" w:themeColor="text2" w:themeShade="80"/>
          <w:sz w:val="22"/>
          <w:lang w:val="el-GR" w:bidi="el-GR"/>
        </w:rPr>
        <w:t xml:space="preserve">την </w:t>
      </w:r>
      <w:r>
        <w:rPr>
          <w:rFonts w:ascii="Calibri" w:hAnsi="Calibri" w:cs="Calibri"/>
          <w:b/>
          <w:color w:val="192D3A" w:themeColor="text2" w:themeShade="80"/>
          <w:sz w:val="22"/>
          <w:lang w:val="el-GR" w:bidi="el-GR"/>
        </w:rPr>
        <w:t>αύξηση</w:t>
      </w:r>
      <w:r w:rsidR="00F02AC0">
        <w:rPr>
          <w:rFonts w:ascii="Calibri" w:hAnsi="Calibri" w:cs="Calibri"/>
          <w:b/>
          <w:color w:val="192D3A" w:themeColor="text2" w:themeShade="80"/>
          <w:sz w:val="22"/>
          <w:lang w:val="el-GR" w:bidi="el-GR"/>
        </w:rPr>
        <w:t xml:space="preserve"> του κόστους</w:t>
      </w:r>
    </w:p>
    <w:p w14:paraId="5142E2D3" w14:textId="77777777" w:rsidR="00E54E94" w:rsidRPr="00E54E94" w:rsidRDefault="00E54E94" w:rsidP="006623D7">
      <w:pPr>
        <w:pStyle w:val="Copy"/>
        <w:numPr>
          <w:ilvl w:val="0"/>
          <w:numId w:val="21"/>
        </w:numPr>
        <w:spacing w:after="0"/>
        <w:rPr>
          <w:rFonts w:ascii="Calibri" w:hAnsi="Calibri" w:cs="Calibri"/>
          <w:b/>
          <w:color w:val="192D3A" w:themeColor="text2" w:themeShade="80"/>
          <w:sz w:val="22"/>
          <w:lang w:val="el-GR" w:bidi="el-GR"/>
        </w:rPr>
      </w:pPr>
      <w:r w:rsidRPr="00E54E94">
        <w:rPr>
          <w:rFonts w:ascii="Calibri" w:hAnsi="Calibri" w:cs="Calibri"/>
          <w:b/>
          <w:color w:val="192D3A" w:themeColor="text2" w:themeShade="80"/>
          <w:sz w:val="22"/>
          <w:lang w:val="el-GR" w:bidi="el-GR"/>
        </w:rPr>
        <w:t>O Όμιλος TITAΝ είναι μία από τις πρώτες εταιρίες του κλάδου τσιμέντου διεθνώς της οποίας οι στόχοι</w:t>
      </w:r>
      <w:r>
        <w:rPr>
          <w:rFonts w:ascii="Calibri" w:hAnsi="Calibri" w:cs="Calibri"/>
          <w:b/>
          <w:color w:val="192D3A" w:themeColor="text2" w:themeShade="80"/>
          <w:sz w:val="22"/>
          <w:lang w:val="el-GR" w:bidi="el-GR"/>
        </w:rPr>
        <w:t xml:space="preserve"> </w:t>
      </w:r>
      <w:r w:rsidRPr="00E54E94">
        <w:rPr>
          <w:rFonts w:ascii="Calibri" w:hAnsi="Calibri" w:cs="Calibri"/>
          <w:b/>
          <w:color w:val="192D3A" w:themeColor="text2" w:themeShade="80"/>
          <w:sz w:val="22"/>
          <w:lang w:val="el-GR" w:bidi="el-GR"/>
        </w:rPr>
        <w:t>μείωσης εκπομπών CO</w:t>
      </w:r>
      <w:r w:rsidRPr="00E54E94">
        <w:rPr>
          <w:rFonts w:ascii="Calibri" w:hAnsi="Calibri" w:cs="Calibri"/>
          <w:b/>
          <w:color w:val="192D3A" w:themeColor="text2" w:themeShade="80"/>
          <w:sz w:val="22"/>
          <w:vertAlign w:val="subscript"/>
          <w:lang w:val="el-GR" w:bidi="el-GR"/>
        </w:rPr>
        <w:t>2</w:t>
      </w:r>
      <w:r w:rsidRPr="00E54E94">
        <w:rPr>
          <w:rFonts w:ascii="Calibri" w:hAnsi="Calibri" w:cs="Calibri"/>
          <w:b/>
          <w:color w:val="192D3A" w:themeColor="text2" w:themeShade="80"/>
          <w:sz w:val="22"/>
          <w:lang w:val="el-GR" w:bidi="el-GR"/>
        </w:rPr>
        <w:t xml:space="preserve"> επικυρώθηκαν από την πρωτοβουλία </w:t>
      </w:r>
      <w:proofErr w:type="spellStart"/>
      <w:r w:rsidRPr="00E54E94">
        <w:rPr>
          <w:rFonts w:ascii="Calibri" w:hAnsi="Calibri" w:cs="Calibri"/>
          <w:b/>
          <w:color w:val="192D3A" w:themeColor="text2" w:themeShade="80"/>
          <w:sz w:val="22"/>
          <w:lang w:val="el-GR" w:bidi="el-GR"/>
        </w:rPr>
        <w:t>Science</w:t>
      </w:r>
      <w:proofErr w:type="spellEnd"/>
      <w:r w:rsidRPr="00E54E94">
        <w:rPr>
          <w:rFonts w:ascii="Calibri" w:hAnsi="Calibri" w:cs="Calibri"/>
          <w:b/>
          <w:color w:val="192D3A" w:themeColor="text2" w:themeShade="80"/>
          <w:sz w:val="22"/>
          <w:lang w:val="el-GR" w:bidi="el-GR"/>
        </w:rPr>
        <w:t xml:space="preserve"> </w:t>
      </w:r>
      <w:proofErr w:type="spellStart"/>
      <w:r w:rsidRPr="00E54E94">
        <w:rPr>
          <w:rFonts w:ascii="Calibri" w:hAnsi="Calibri" w:cs="Calibri"/>
          <w:b/>
          <w:color w:val="192D3A" w:themeColor="text2" w:themeShade="80"/>
          <w:sz w:val="22"/>
          <w:lang w:val="el-GR" w:bidi="el-GR"/>
        </w:rPr>
        <w:t>Based</w:t>
      </w:r>
      <w:proofErr w:type="spellEnd"/>
      <w:r w:rsidRPr="00E54E94">
        <w:rPr>
          <w:rFonts w:ascii="Calibri" w:hAnsi="Calibri" w:cs="Calibri"/>
          <w:b/>
          <w:color w:val="192D3A" w:themeColor="text2" w:themeShade="80"/>
          <w:sz w:val="22"/>
          <w:lang w:val="el-GR" w:bidi="el-GR"/>
        </w:rPr>
        <w:t xml:space="preserve"> </w:t>
      </w:r>
      <w:proofErr w:type="spellStart"/>
      <w:r w:rsidRPr="00E54E94">
        <w:rPr>
          <w:rFonts w:ascii="Calibri" w:hAnsi="Calibri" w:cs="Calibri"/>
          <w:b/>
          <w:color w:val="192D3A" w:themeColor="text2" w:themeShade="80"/>
          <w:sz w:val="22"/>
          <w:lang w:val="el-GR" w:bidi="el-GR"/>
        </w:rPr>
        <w:t>Targets</w:t>
      </w:r>
      <w:proofErr w:type="spellEnd"/>
      <w:r w:rsidRPr="00E54E94">
        <w:rPr>
          <w:rFonts w:ascii="Calibri" w:hAnsi="Calibri" w:cs="Calibri"/>
          <w:b/>
          <w:color w:val="192D3A" w:themeColor="text2" w:themeShade="80"/>
          <w:sz w:val="22"/>
          <w:lang w:val="el-GR" w:bidi="el-GR"/>
        </w:rPr>
        <w:t xml:space="preserve"> (</w:t>
      </w:r>
      <w:proofErr w:type="spellStart"/>
      <w:r w:rsidRPr="00E54E94">
        <w:rPr>
          <w:rFonts w:ascii="Calibri" w:hAnsi="Calibri" w:cs="Calibri"/>
          <w:b/>
          <w:color w:val="192D3A" w:themeColor="text2" w:themeShade="80"/>
          <w:sz w:val="22"/>
          <w:lang w:val="el-GR" w:bidi="el-GR"/>
        </w:rPr>
        <w:t>SBTi</w:t>
      </w:r>
      <w:proofErr w:type="spellEnd"/>
      <w:r w:rsidRPr="00E54E94">
        <w:rPr>
          <w:rFonts w:ascii="Calibri" w:hAnsi="Calibri" w:cs="Calibri"/>
          <w:b/>
          <w:color w:val="192D3A" w:themeColor="text2" w:themeShade="80"/>
          <w:sz w:val="22"/>
          <w:lang w:val="el-GR" w:bidi="el-GR"/>
        </w:rPr>
        <w:t>)</w:t>
      </w:r>
    </w:p>
    <w:p w14:paraId="5142E2D4" w14:textId="77777777" w:rsidR="00BC5EBA" w:rsidRPr="00BC5EBA" w:rsidRDefault="00A3335B" w:rsidP="00BC5EBA">
      <w:pPr>
        <w:pStyle w:val="Copy"/>
        <w:numPr>
          <w:ilvl w:val="0"/>
          <w:numId w:val="21"/>
        </w:numPr>
        <w:spacing w:after="0"/>
        <w:ind w:left="958" w:hanging="357"/>
        <w:jc w:val="both"/>
        <w:rPr>
          <w:rFonts w:ascii="Calibri" w:hAnsi="Calibri" w:cs="Calibri"/>
          <w:b/>
          <w:color w:val="192D3A" w:themeColor="text2" w:themeShade="80"/>
          <w:sz w:val="22"/>
          <w:lang w:val="el-GR" w:bidi="el-GR"/>
        </w:rPr>
      </w:pPr>
      <w:r>
        <w:rPr>
          <w:rFonts w:ascii="Calibri" w:hAnsi="Calibri" w:cs="Calibri"/>
          <w:b/>
          <w:color w:val="192D3A" w:themeColor="text2" w:themeShade="80"/>
          <w:sz w:val="22"/>
          <w:lang w:val="el-GR" w:bidi="el-GR"/>
        </w:rPr>
        <w:t>Ο</w:t>
      </w:r>
      <w:r w:rsidRPr="00BC5EBA">
        <w:rPr>
          <w:rFonts w:ascii="Calibri" w:hAnsi="Calibri" w:cs="Calibri"/>
          <w:b/>
          <w:color w:val="192D3A" w:themeColor="text2" w:themeShade="80"/>
          <w:sz w:val="22"/>
          <w:lang w:val="el-GR" w:bidi="el-GR"/>
        </w:rPr>
        <w:t>λοκλ</w:t>
      </w:r>
      <w:r w:rsidR="00310C70">
        <w:rPr>
          <w:rFonts w:ascii="Calibri" w:hAnsi="Calibri" w:cs="Calibri"/>
          <w:b/>
          <w:color w:val="192D3A" w:themeColor="text2" w:themeShade="80"/>
          <w:sz w:val="22"/>
          <w:lang w:val="el-GR" w:bidi="el-GR"/>
        </w:rPr>
        <w:t>ήρωση της</w:t>
      </w:r>
      <w:r>
        <w:rPr>
          <w:rFonts w:ascii="Calibri" w:hAnsi="Calibri" w:cs="Calibri"/>
          <w:b/>
          <w:color w:val="192D3A" w:themeColor="text2" w:themeShade="80"/>
          <w:sz w:val="22"/>
          <w:lang w:val="el-GR" w:bidi="el-GR"/>
        </w:rPr>
        <w:t xml:space="preserve"> α</w:t>
      </w:r>
      <w:r w:rsidR="00BC5EBA" w:rsidRPr="00BC5EBA">
        <w:rPr>
          <w:rFonts w:ascii="Calibri" w:hAnsi="Calibri" w:cs="Calibri"/>
          <w:b/>
          <w:color w:val="192D3A" w:themeColor="text2" w:themeShade="80"/>
          <w:sz w:val="22"/>
          <w:lang w:val="el-GR" w:bidi="el-GR"/>
        </w:rPr>
        <w:t>κύρωση</w:t>
      </w:r>
      <w:r w:rsidR="00310C70">
        <w:rPr>
          <w:rFonts w:ascii="Calibri" w:hAnsi="Calibri" w:cs="Calibri"/>
          <w:b/>
          <w:color w:val="192D3A" w:themeColor="text2" w:themeShade="80"/>
          <w:sz w:val="22"/>
          <w:lang w:val="el-GR" w:bidi="el-GR"/>
        </w:rPr>
        <w:t>ς</w:t>
      </w:r>
      <w:r w:rsidR="00BC5EBA" w:rsidRPr="00BC5EBA">
        <w:rPr>
          <w:rFonts w:ascii="Calibri" w:hAnsi="Calibri" w:cs="Calibri"/>
          <w:b/>
          <w:color w:val="192D3A" w:themeColor="text2" w:themeShade="80"/>
          <w:sz w:val="22"/>
          <w:lang w:val="el-GR" w:bidi="el-GR"/>
        </w:rPr>
        <w:t xml:space="preserve"> </w:t>
      </w:r>
      <w:r w:rsidR="00584205">
        <w:rPr>
          <w:rFonts w:ascii="Calibri" w:hAnsi="Calibri" w:cs="Calibri"/>
          <w:b/>
          <w:color w:val="192D3A" w:themeColor="text2" w:themeShade="80"/>
          <w:sz w:val="22"/>
          <w:lang w:val="el-GR" w:bidi="el-GR"/>
        </w:rPr>
        <w:t xml:space="preserve">του </w:t>
      </w:r>
      <w:r w:rsidR="00BC5EBA" w:rsidRPr="00BC5EBA">
        <w:rPr>
          <w:rFonts w:ascii="Calibri" w:hAnsi="Calibri" w:cs="Calibri"/>
          <w:b/>
          <w:color w:val="192D3A" w:themeColor="text2" w:themeShade="80"/>
          <w:sz w:val="22"/>
          <w:lang w:val="el-GR" w:bidi="el-GR"/>
        </w:rPr>
        <w:t xml:space="preserve">5% των μετοχών </w:t>
      </w:r>
      <w:r w:rsidR="004A4C9B">
        <w:rPr>
          <w:rFonts w:ascii="Calibri" w:hAnsi="Calibri" w:cs="Calibri"/>
          <w:b/>
          <w:color w:val="192D3A" w:themeColor="text2" w:themeShade="80"/>
          <w:sz w:val="22"/>
          <w:lang w:val="el-GR" w:bidi="el-GR"/>
        </w:rPr>
        <w:t xml:space="preserve">της </w:t>
      </w:r>
      <w:r w:rsidR="004A4C9B">
        <w:rPr>
          <w:rFonts w:ascii="Calibri" w:hAnsi="Calibri" w:cs="Calibri"/>
          <w:b/>
          <w:color w:val="192D3A" w:themeColor="text2" w:themeShade="80"/>
          <w:sz w:val="22"/>
          <w:lang w:val="en-US" w:bidi="el-GR"/>
        </w:rPr>
        <w:t>TCI</w:t>
      </w:r>
      <w:r>
        <w:rPr>
          <w:rFonts w:ascii="Calibri" w:hAnsi="Calibri" w:cs="Calibri"/>
          <w:b/>
          <w:color w:val="192D3A" w:themeColor="text2" w:themeShade="80"/>
          <w:sz w:val="22"/>
          <w:lang w:val="el-GR" w:bidi="el-GR"/>
        </w:rPr>
        <w:t xml:space="preserve"> τον Ιούνιο του 2021</w:t>
      </w:r>
      <w:r w:rsidR="004A4C9B" w:rsidRPr="004A4C9B">
        <w:rPr>
          <w:rFonts w:ascii="Calibri" w:hAnsi="Calibri" w:cs="Calibri"/>
          <w:b/>
          <w:color w:val="192D3A" w:themeColor="text2" w:themeShade="80"/>
          <w:sz w:val="22"/>
          <w:lang w:val="el-GR" w:bidi="el-GR"/>
        </w:rPr>
        <w:t xml:space="preserve"> </w:t>
      </w:r>
    </w:p>
    <w:p w14:paraId="5142E2D5" w14:textId="77777777" w:rsidR="00BC5EBA" w:rsidRPr="00BC5EBA" w:rsidRDefault="00584205" w:rsidP="00BC5EBA">
      <w:pPr>
        <w:pStyle w:val="Copy"/>
        <w:numPr>
          <w:ilvl w:val="0"/>
          <w:numId w:val="21"/>
        </w:numPr>
        <w:spacing w:after="0"/>
        <w:ind w:left="958" w:hanging="357"/>
        <w:rPr>
          <w:rFonts w:ascii="Calibri" w:hAnsi="Calibri" w:cs="Calibri"/>
          <w:b/>
          <w:color w:val="192D3A" w:themeColor="text2" w:themeShade="80"/>
          <w:sz w:val="22"/>
          <w:lang w:val="el-GR" w:bidi="el-GR"/>
        </w:rPr>
      </w:pPr>
      <w:r>
        <w:rPr>
          <w:rFonts w:ascii="Calibri" w:hAnsi="Calibri" w:cs="Calibri"/>
          <w:b/>
          <w:color w:val="192D3A" w:themeColor="text2" w:themeShade="80"/>
          <w:sz w:val="22"/>
          <w:lang w:val="el-GR" w:bidi="el-GR"/>
        </w:rPr>
        <w:t xml:space="preserve">Διατήρηση των θετικών προοπτικών </w:t>
      </w:r>
      <w:r w:rsidR="00BC5EBA" w:rsidRPr="00BC5EBA">
        <w:rPr>
          <w:rFonts w:ascii="Calibri" w:hAnsi="Calibri" w:cs="Calibri"/>
          <w:b/>
          <w:color w:val="192D3A" w:themeColor="text2" w:themeShade="80"/>
          <w:sz w:val="22"/>
          <w:lang w:val="el-GR" w:bidi="el-GR"/>
        </w:rPr>
        <w:t xml:space="preserve">για το 2021, χάρη στις </w:t>
      </w:r>
      <w:r>
        <w:rPr>
          <w:rFonts w:ascii="Calibri" w:hAnsi="Calibri" w:cs="Calibri"/>
          <w:b/>
          <w:color w:val="192D3A" w:themeColor="text2" w:themeShade="80"/>
          <w:sz w:val="22"/>
          <w:lang w:val="el-GR" w:bidi="el-GR"/>
        </w:rPr>
        <w:t>ενθαρρυντικές</w:t>
      </w:r>
      <w:r w:rsidR="00BC5EBA" w:rsidRPr="00BC5EBA">
        <w:rPr>
          <w:rFonts w:ascii="Calibri" w:hAnsi="Calibri" w:cs="Calibri"/>
          <w:b/>
          <w:color w:val="192D3A" w:themeColor="text2" w:themeShade="80"/>
          <w:sz w:val="22"/>
          <w:lang w:val="el-GR" w:bidi="el-GR"/>
        </w:rPr>
        <w:t xml:space="preserve"> προοπτικές των αγορών </w:t>
      </w:r>
      <w:r>
        <w:rPr>
          <w:rFonts w:ascii="Calibri" w:hAnsi="Calibri" w:cs="Calibri"/>
          <w:b/>
          <w:color w:val="192D3A" w:themeColor="text2" w:themeShade="80"/>
          <w:sz w:val="22"/>
          <w:lang w:val="el-GR" w:bidi="el-GR"/>
        </w:rPr>
        <w:t>δραστηριοποίησης του Ομίλου</w:t>
      </w:r>
    </w:p>
    <w:p w14:paraId="5142E2D6" w14:textId="77777777" w:rsidR="00B9646B" w:rsidRPr="00B9646B" w:rsidRDefault="00B9646B" w:rsidP="00F575A4">
      <w:pPr>
        <w:pStyle w:val="C"/>
        <w:spacing w:line="240" w:lineRule="auto"/>
        <w:jc w:val="both"/>
        <w:rPr>
          <w:sz w:val="12"/>
          <w:lang w:val="el-GR"/>
        </w:rPr>
      </w:pPr>
    </w:p>
    <w:p w14:paraId="5142E2D7" w14:textId="77777777" w:rsidR="00F575A4" w:rsidRPr="0018547A" w:rsidRDefault="00F575A4" w:rsidP="00F575A4">
      <w:pPr>
        <w:pStyle w:val="C"/>
        <w:spacing w:line="240" w:lineRule="auto"/>
        <w:jc w:val="both"/>
        <w:rPr>
          <w:rFonts w:eastAsia="Calibri" w:cs="Calibri"/>
          <w:lang w:val="el-GR"/>
        </w:rPr>
      </w:pPr>
      <w:r>
        <w:rPr>
          <w:rFonts w:cs="Calibri"/>
          <w:noProof/>
          <w:lang w:val="en-US"/>
        </w:rPr>
        <mc:AlternateContent>
          <mc:Choice Requires="wps">
            <w:drawing>
              <wp:anchor distT="0" distB="0" distL="114300" distR="114300" simplePos="0" relativeHeight="251658253" behindDoc="0" locked="0" layoutInCell="1" allowOverlap="1" wp14:anchorId="5142E624" wp14:editId="5142E625">
                <wp:simplePos x="0" y="0"/>
                <wp:positionH relativeFrom="column">
                  <wp:posOffset>7075</wp:posOffset>
                </wp:positionH>
                <wp:positionV relativeFrom="paragraph">
                  <wp:posOffset>239667</wp:posOffset>
                </wp:positionV>
                <wp:extent cx="6204585" cy="0"/>
                <wp:effectExtent l="0" t="0" r="5715" b="12700"/>
                <wp:wrapNone/>
                <wp:docPr id="13" name="Straight Connector 13"/>
                <wp:cNvGraphicFramePr/>
                <a:graphic xmlns:a="http://schemas.openxmlformats.org/drawingml/2006/main">
                  <a:graphicData uri="http://schemas.microsoft.com/office/word/2010/wordprocessingShape">
                    <wps:wsp>
                      <wps:cNvCnPr/>
                      <wps:spPr>
                        <a:xfrm>
                          <a:off x="0" y="0"/>
                          <a:ext cx="6204585"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4172027" id="Straight Connector 13"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8.85pt" to="489.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" strokecolor="#00183d" strokeweight=".25pt"/>
            </w:pict>
          </mc:Fallback>
        </mc:AlternateContent>
      </w:r>
      <w:r w:rsidRPr="0018547A">
        <w:rPr>
          <w:lang w:val="el-GR"/>
        </w:rPr>
        <w:t xml:space="preserve">Όμιλος ΤΙΤΑΝ – </w:t>
      </w:r>
      <w:r w:rsidR="00CF10E1">
        <w:rPr>
          <w:lang w:val="el-GR"/>
        </w:rPr>
        <w:t>Ανασκόπηση</w:t>
      </w:r>
      <w:r w:rsidRPr="0018547A">
        <w:rPr>
          <w:lang w:val="el-GR"/>
        </w:rPr>
        <w:t xml:space="preserve"> </w:t>
      </w:r>
      <w:r>
        <w:rPr>
          <w:lang w:val="el-GR"/>
        </w:rPr>
        <w:t>Α’</w:t>
      </w:r>
      <w:r w:rsidR="00D53498">
        <w:rPr>
          <w:lang w:val="el-GR"/>
        </w:rPr>
        <w:t xml:space="preserve"> εξαμήνου 2021</w:t>
      </w:r>
    </w:p>
    <w:p w14:paraId="5142E2D8" w14:textId="5257B9DD" w:rsidR="00BC5EBA" w:rsidRPr="00BC5EBA" w:rsidRDefault="007C0DD7" w:rsidP="00443EF9">
      <w:pPr>
        <w:pStyle w:val="BodyText"/>
        <w:spacing w:before="195"/>
        <w:ind w:left="0" w:right="-284"/>
        <w:jc w:val="both"/>
        <w:rPr>
          <w:sz w:val="19"/>
          <w:szCs w:val="19"/>
        </w:rPr>
      </w:pPr>
      <w:r>
        <w:rPr>
          <w:color w:val="00173C"/>
        </w:rPr>
        <w:t>Ο</w:t>
      </w:r>
      <w:r w:rsidR="00EA19F6">
        <w:rPr>
          <w:color w:val="00173C"/>
        </w:rPr>
        <w:t xml:space="preserve"> όγκος των</w:t>
      </w:r>
      <w:r w:rsidR="00360729">
        <w:rPr>
          <w:color w:val="00173C"/>
        </w:rPr>
        <w:t xml:space="preserve"> </w:t>
      </w:r>
      <w:r>
        <w:rPr>
          <w:color w:val="00173C"/>
        </w:rPr>
        <w:t>πωλήσε</w:t>
      </w:r>
      <w:r w:rsidR="00EA19F6">
        <w:rPr>
          <w:color w:val="00173C"/>
        </w:rPr>
        <w:t>ων</w:t>
      </w:r>
      <w:r>
        <w:rPr>
          <w:color w:val="00173C"/>
        </w:rPr>
        <w:t xml:space="preserve"> </w:t>
      </w:r>
      <w:r w:rsidR="00AB42E0">
        <w:rPr>
          <w:color w:val="00173C"/>
        </w:rPr>
        <w:t>κινήθηκ</w:t>
      </w:r>
      <w:r w:rsidR="00EA19F6">
        <w:rPr>
          <w:color w:val="00173C"/>
        </w:rPr>
        <w:t>ε</w:t>
      </w:r>
      <w:r w:rsidR="00AB42E0">
        <w:rPr>
          <w:color w:val="00173C"/>
        </w:rPr>
        <w:t xml:space="preserve"> ανοδικά</w:t>
      </w:r>
      <w:r>
        <w:rPr>
          <w:color w:val="00173C"/>
        </w:rPr>
        <w:t xml:space="preserve"> σε όλες τις κατηγορίες προϊόντων</w:t>
      </w:r>
      <w:r w:rsidR="00BC5EBA">
        <w:rPr>
          <w:color w:val="00173C"/>
        </w:rPr>
        <w:t xml:space="preserve"> το πρώτο εξάμηνο του έτους. </w:t>
      </w:r>
      <w:r>
        <w:rPr>
          <w:color w:val="00173C"/>
        </w:rPr>
        <w:t>Σε επίπεδο Ομίλου, ο</w:t>
      </w:r>
      <w:r w:rsidR="00BC5EBA">
        <w:rPr>
          <w:color w:val="00173C"/>
        </w:rPr>
        <w:t xml:space="preserve">ι </w:t>
      </w:r>
      <w:r>
        <w:rPr>
          <w:color w:val="00173C"/>
        </w:rPr>
        <w:t xml:space="preserve">πωλήσεις τσιμέντου και </w:t>
      </w:r>
      <w:proofErr w:type="spellStart"/>
      <w:r>
        <w:rPr>
          <w:color w:val="00173C"/>
        </w:rPr>
        <w:t>κλίνκερ</w:t>
      </w:r>
      <w:proofErr w:type="spellEnd"/>
      <w:r>
        <w:rPr>
          <w:color w:val="00173C"/>
        </w:rPr>
        <w:t>, συμπεριλαμβανομένων των εξαγωγών,</w:t>
      </w:r>
      <w:r w:rsidR="00BC5EBA">
        <w:rPr>
          <w:color w:val="00173C"/>
        </w:rPr>
        <w:t xml:space="preserve"> αυξήθηκαν κατά </w:t>
      </w:r>
      <w:r w:rsidR="0013117A" w:rsidRPr="0013117A">
        <w:rPr>
          <w:color w:val="00173C"/>
        </w:rPr>
        <w:t>11</w:t>
      </w:r>
      <w:r w:rsidR="00BC5EBA">
        <w:rPr>
          <w:color w:val="00173C"/>
        </w:rPr>
        <w:t xml:space="preserve">% </w:t>
      </w:r>
      <w:r w:rsidR="00642EC2">
        <w:rPr>
          <w:color w:val="00173C"/>
        </w:rPr>
        <w:t xml:space="preserve">λόγω αύξησης της ζήτησης </w:t>
      </w:r>
      <w:r w:rsidR="00BC5EBA">
        <w:rPr>
          <w:color w:val="00173C"/>
        </w:rPr>
        <w:t>στις περισσότερες αγορές. Οι πωλήσεις αδρανών υλικών και έτοιμ</w:t>
      </w:r>
      <w:r w:rsidR="0013117A">
        <w:rPr>
          <w:color w:val="00173C"/>
        </w:rPr>
        <w:t>ου σκυροδέματος αυξήθηκαν κατά 4% και 5</w:t>
      </w:r>
      <w:r>
        <w:rPr>
          <w:color w:val="00173C"/>
        </w:rPr>
        <w:t>% αντίστοιχα</w:t>
      </w:r>
      <w:r w:rsidR="00BC5EBA">
        <w:rPr>
          <w:color w:val="00173C"/>
        </w:rPr>
        <w:t>.</w:t>
      </w:r>
    </w:p>
    <w:p w14:paraId="5142E2D9" w14:textId="0A8246FA" w:rsidR="00BC5EBA" w:rsidRDefault="00BC5EBA" w:rsidP="00443EF9">
      <w:pPr>
        <w:pStyle w:val="BodyText"/>
        <w:ind w:left="0" w:right="-284"/>
        <w:jc w:val="both"/>
        <w:rPr>
          <w:color w:val="00173C"/>
        </w:rPr>
      </w:pPr>
      <w:r>
        <w:rPr>
          <w:color w:val="00173C"/>
        </w:rPr>
        <w:t>Ο ενοποιημένος κύκλος εργασιών διαμορφώθηκε στα €</w:t>
      </w:r>
      <w:r w:rsidR="0013117A" w:rsidRPr="0013117A">
        <w:rPr>
          <w:color w:val="00173C"/>
        </w:rPr>
        <w:t>821,1</w:t>
      </w:r>
      <w:r w:rsidR="0013117A">
        <w:rPr>
          <w:color w:val="00173C"/>
        </w:rPr>
        <w:t xml:space="preserve">εκ., παρουσιάζοντας </w:t>
      </w:r>
      <w:r w:rsidR="00AB42E0">
        <w:rPr>
          <w:color w:val="00173C"/>
        </w:rPr>
        <w:t xml:space="preserve">άνοδο </w:t>
      </w:r>
      <w:r w:rsidR="0013117A">
        <w:rPr>
          <w:color w:val="00173C"/>
        </w:rPr>
        <w:t>4,4</w:t>
      </w:r>
      <w:r>
        <w:rPr>
          <w:color w:val="00173C"/>
        </w:rPr>
        <w:t>% έναντι του πρώτου εξαμήνου του 2020, χάρη στη</w:t>
      </w:r>
      <w:r w:rsidR="00AB42E0">
        <w:rPr>
          <w:color w:val="00173C"/>
        </w:rPr>
        <w:t xml:space="preserve"> βελτίωση όγκων και τιμών</w:t>
      </w:r>
      <w:r>
        <w:rPr>
          <w:color w:val="00173C"/>
        </w:rPr>
        <w:t>. Η εξασθένηση του αμερικανικού δολαρίου και των συνδεδεμένων με αυτό νομισμάτων περιόρισ</w:t>
      </w:r>
      <w:r w:rsidR="00642EC2">
        <w:rPr>
          <w:color w:val="00173C"/>
        </w:rPr>
        <w:t>αν</w:t>
      </w:r>
      <w:r>
        <w:rPr>
          <w:color w:val="00173C"/>
        </w:rPr>
        <w:t xml:space="preserve"> την αύξηση </w:t>
      </w:r>
      <w:r w:rsidR="00A6169B">
        <w:rPr>
          <w:color w:val="00173C"/>
        </w:rPr>
        <w:t>του κύκλου εργασι</w:t>
      </w:r>
      <w:r w:rsidR="00CE31FC">
        <w:rPr>
          <w:color w:val="00173C"/>
        </w:rPr>
        <w:t>ών</w:t>
      </w:r>
      <w:r w:rsidR="00AB42E0">
        <w:rPr>
          <w:color w:val="00173C"/>
        </w:rPr>
        <w:t xml:space="preserve"> σε ευρώ</w:t>
      </w:r>
      <w:r w:rsidR="00AB2ED6">
        <w:rPr>
          <w:color w:val="00173C"/>
        </w:rPr>
        <w:t>. Σε</w:t>
      </w:r>
      <w:r w:rsidR="00A6169B">
        <w:rPr>
          <w:color w:val="00173C"/>
        </w:rPr>
        <w:t xml:space="preserve"> τοπικ</w:t>
      </w:r>
      <w:r w:rsidR="00AB42E0">
        <w:rPr>
          <w:color w:val="00173C"/>
        </w:rPr>
        <w:t>ά</w:t>
      </w:r>
      <w:r w:rsidR="00A6169B">
        <w:rPr>
          <w:color w:val="00173C"/>
        </w:rPr>
        <w:t xml:space="preserve"> ν</w:t>
      </w:r>
      <w:r w:rsidR="00AB42E0">
        <w:rPr>
          <w:color w:val="00173C"/>
        </w:rPr>
        <w:t>ο</w:t>
      </w:r>
      <w:r w:rsidR="00CE31FC">
        <w:rPr>
          <w:color w:val="00173C"/>
        </w:rPr>
        <w:t>μ</w:t>
      </w:r>
      <w:r w:rsidR="00AB42E0">
        <w:rPr>
          <w:color w:val="00173C"/>
        </w:rPr>
        <w:t>ί</w:t>
      </w:r>
      <w:r w:rsidR="00CE31FC">
        <w:rPr>
          <w:color w:val="00173C"/>
        </w:rPr>
        <w:t>σμα</w:t>
      </w:r>
      <w:r w:rsidR="00AB42E0">
        <w:rPr>
          <w:color w:val="00173C"/>
        </w:rPr>
        <w:t>τα</w:t>
      </w:r>
      <w:r w:rsidR="00CE31FC">
        <w:rPr>
          <w:color w:val="00173C"/>
        </w:rPr>
        <w:t xml:space="preserve"> </w:t>
      </w:r>
      <w:r w:rsidR="00AB2ED6">
        <w:rPr>
          <w:color w:val="00173C"/>
        </w:rPr>
        <w:t xml:space="preserve">η αύξηση ήταν </w:t>
      </w:r>
      <w:r w:rsidR="0013117A">
        <w:rPr>
          <w:color w:val="00173C"/>
        </w:rPr>
        <w:t>11,7</w:t>
      </w:r>
      <w:r>
        <w:rPr>
          <w:color w:val="00173C"/>
        </w:rPr>
        <w:t>%. Τα λειτουργικά κέρ</w:t>
      </w:r>
      <w:r w:rsidR="0013117A">
        <w:rPr>
          <w:color w:val="00173C"/>
        </w:rPr>
        <w:t>δη (EBITDA) διαμορφώθηκαν στα €1</w:t>
      </w:r>
      <w:r w:rsidR="0013117A" w:rsidRPr="0013117A">
        <w:rPr>
          <w:color w:val="00173C"/>
        </w:rPr>
        <w:t>42,6</w:t>
      </w:r>
      <w:r>
        <w:rPr>
          <w:color w:val="00173C"/>
        </w:rPr>
        <w:t xml:space="preserve"> εκ., παρουσιάζοντας αύξηση </w:t>
      </w:r>
      <w:r w:rsidR="0013117A" w:rsidRPr="0013117A">
        <w:rPr>
          <w:color w:val="00173C"/>
        </w:rPr>
        <w:t>4,2</w:t>
      </w:r>
      <w:r w:rsidR="0013117A">
        <w:rPr>
          <w:color w:val="00173C"/>
        </w:rPr>
        <w:t>% (και 10,3</w:t>
      </w:r>
      <w:r>
        <w:rPr>
          <w:color w:val="00173C"/>
        </w:rPr>
        <w:t xml:space="preserve">% σε </w:t>
      </w:r>
      <w:r w:rsidR="00A6169B">
        <w:rPr>
          <w:color w:val="00173C"/>
        </w:rPr>
        <w:t>τοπικ</w:t>
      </w:r>
      <w:r w:rsidR="00AB42E0">
        <w:rPr>
          <w:color w:val="00173C"/>
        </w:rPr>
        <w:t>ά</w:t>
      </w:r>
      <w:r w:rsidR="00A6169B">
        <w:rPr>
          <w:color w:val="00173C"/>
        </w:rPr>
        <w:t xml:space="preserve"> ν</w:t>
      </w:r>
      <w:r w:rsidR="00AB42E0">
        <w:rPr>
          <w:color w:val="00173C"/>
        </w:rPr>
        <w:t>ο</w:t>
      </w:r>
      <w:r w:rsidR="00A6169B">
        <w:rPr>
          <w:color w:val="00173C"/>
        </w:rPr>
        <w:t>μ</w:t>
      </w:r>
      <w:r w:rsidR="00AB42E0">
        <w:rPr>
          <w:color w:val="00173C"/>
        </w:rPr>
        <w:t>ί</w:t>
      </w:r>
      <w:r w:rsidR="00A6169B">
        <w:rPr>
          <w:color w:val="00173C"/>
        </w:rPr>
        <w:t>σμα</w:t>
      </w:r>
      <w:r w:rsidR="00AB42E0">
        <w:rPr>
          <w:color w:val="00173C"/>
        </w:rPr>
        <w:t>τα</w:t>
      </w:r>
      <w:r w:rsidR="00A6169B">
        <w:rPr>
          <w:color w:val="00173C"/>
        </w:rPr>
        <w:t>)</w:t>
      </w:r>
      <w:r w:rsidR="00AB2ED6">
        <w:rPr>
          <w:color w:val="00173C"/>
        </w:rPr>
        <w:t xml:space="preserve">, καθώς η άνοδος των τιμών </w:t>
      </w:r>
      <w:r>
        <w:rPr>
          <w:color w:val="00173C"/>
        </w:rPr>
        <w:t>ενέργειας και ναύλων λειτούργησε ανασταλτικά. Τα καθαρά κέρδη μετά από φόρους και δικαιώματα μειοψηφίας υπερδιπλασιάστηκαν και διαμορφώθηκαν στα €</w:t>
      </w:r>
      <w:r w:rsidR="00A6169B">
        <w:rPr>
          <w:color w:val="00173C"/>
        </w:rPr>
        <w:t>58,0</w:t>
      </w:r>
      <w:r w:rsidR="0013117A">
        <w:rPr>
          <w:color w:val="00173C"/>
        </w:rPr>
        <w:t xml:space="preserve"> εκ. έναντι €22,4</w:t>
      </w:r>
      <w:r>
        <w:rPr>
          <w:color w:val="00173C"/>
        </w:rPr>
        <w:t xml:space="preserve"> εκ. κατά το πρώτο εξάμηνο του 20</w:t>
      </w:r>
      <w:r w:rsidR="00AB2ED6">
        <w:rPr>
          <w:color w:val="00173C"/>
        </w:rPr>
        <w:t>20</w:t>
      </w:r>
      <w:r w:rsidR="008A4112">
        <w:rPr>
          <w:color w:val="00173C"/>
        </w:rPr>
        <w:t>,</w:t>
      </w:r>
      <w:r w:rsidR="00AB2ED6">
        <w:rPr>
          <w:color w:val="00173C"/>
        </w:rPr>
        <w:t xml:space="preserve"> </w:t>
      </w:r>
      <w:r w:rsidR="00642EC2">
        <w:rPr>
          <w:color w:val="00173C"/>
        </w:rPr>
        <w:t>υποβοηθούμενα απ</w:t>
      </w:r>
      <w:r w:rsidR="002B0D5D">
        <w:rPr>
          <w:color w:val="00173C"/>
        </w:rPr>
        <w:t>ό τη</w:t>
      </w:r>
      <w:r w:rsidR="00AB2ED6">
        <w:rPr>
          <w:color w:val="00173C"/>
        </w:rPr>
        <w:t xml:space="preserve"> σημαντική μείωση των χρηματοοικονομικών εξόδων</w:t>
      </w:r>
      <w:r>
        <w:rPr>
          <w:color w:val="00173C"/>
        </w:rPr>
        <w:t>.</w:t>
      </w:r>
      <w:r w:rsidR="008A4112">
        <w:rPr>
          <w:color w:val="00173C"/>
        </w:rPr>
        <w:t xml:space="preserve"> Αξίζει να σημειωθεί ώστε</w:t>
      </w:r>
      <w:r>
        <w:rPr>
          <w:color w:val="00173C"/>
        </w:rPr>
        <w:t xml:space="preserve"> να δοθεί μια πληρέστ</w:t>
      </w:r>
      <w:r w:rsidR="008A4112">
        <w:rPr>
          <w:color w:val="00173C"/>
        </w:rPr>
        <w:t>ερη εικόνα, ότι</w:t>
      </w:r>
      <w:r>
        <w:rPr>
          <w:color w:val="00173C"/>
        </w:rPr>
        <w:t xml:space="preserve"> οι περισσότερες χώρες </w:t>
      </w:r>
      <w:r w:rsidR="008A4112">
        <w:rPr>
          <w:color w:val="00173C"/>
        </w:rPr>
        <w:t xml:space="preserve">όπου </w:t>
      </w:r>
      <w:r>
        <w:rPr>
          <w:color w:val="00173C"/>
        </w:rPr>
        <w:t xml:space="preserve">δραστηριοποιείται ο </w:t>
      </w:r>
      <w:r w:rsidR="008A4112">
        <w:rPr>
          <w:color w:val="00173C"/>
        </w:rPr>
        <w:t xml:space="preserve">Όμιλος </w:t>
      </w:r>
      <w:r>
        <w:rPr>
          <w:color w:val="00173C"/>
        </w:rPr>
        <w:t>δεν ήταν μετα</w:t>
      </w:r>
      <w:r w:rsidR="008A4112">
        <w:rPr>
          <w:color w:val="00173C"/>
        </w:rPr>
        <w:t xml:space="preserve">ξύ των περιοχών που </w:t>
      </w:r>
      <w:r w:rsidR="001D7301">
        <w:rPr>
          <w:color w:val="00173C"/>
        </w:rPr>
        <w:t>είχαν δεχτεί</w:t>
      </w:r>
      <w:r w:rsidR="008A4112">
        <w:rPr>
          <w:color w:val="00173C"/>
        </w:rPr>
        <w:t xml:space="preserve"> </w:t>
      </w:r>
      <w:r>
        <w:rPr>
          <w:color w:val="00173C"/>
        </w:rPr>
        <w:t xml:space="preserve">ισχυρό πλήγμα </w:t>
      </w:r>
      <w:r w:rsidR="008A4112">
        <w:rPr>
          <w:color w:val="00173C"/>
        </w:rPr>
        <w:t xml:space="preserve">στις αρχές </w:t>
      </w:r>
      <w:r>
        <w:rPr>
          <w:color w:val="00173C"/>
        </w:rPr>
        <w:t>της πανδημίας</w:t>
      </w:r>
      <w:r w:rsidR="008A4112">
        <w:rPr>
          <w:color w:val="00173C"/>
        </w:rPr>
        <w:t xml:space="preserve"> και κατά συνέπεια</w:t>
      </w:r>
      <w:r>
        <w:rPr>
          <w:color w:val="00173C"/>
        </w:rPr>
        <w:t xml:space="preserve"> τα αποτελέσματα του Ομίλου το πρώτο εξάμηνο του 2020 </w:t>
      </w:r>
      <w:r w:rsidR="008A4112">
        <w:rPr>
          <w:color w:val="00173C"/>
        </w:rPr>
        <w:t>είχαν επιδείξει ανθεκτικότητα και είχαν βελτιωθεί σε σύγκριση με</w:t>
      </w:r>
      <w:r>
        <w:rPr>
          <w:color w:val="00173C"/>
        </w:rPr>
        <w:t xml:space="preserve"> το πρώτ</w:t>
      </w:r>
      <w:r w:rsidR="00A6169B">
        <w:rPr>
          <w:color w:val="00173C"/>
        </w:rPr>
        <w:t>ο εξάμηνο του 2019 (δείτε παρακάτω</w:t>
      </w:r>
      <w:r>
        <w:rPr>
          <w:color w:val="00173C"/>
        </w:rPr>
        <w:t>).</w:t>
      </w:r>
    </w:p>
    <w:p w14:paraId="5142E2DA" w14:textId="77777777" w:rsidR="0013117A" w:rsidRDefault="0013117A" w:rsidP="00626507">
      <w:pPr>
        <w:pStyle w:val="BodyText"/>
        <w:ind w:left="0" w:right="-797"/>
        <w:jc w:val="both"/>
      </w:pPr>
    </w:p>
    <w:tbl>
      <w:tblPr>
        <w:tblW w:w="10064" w:type="dxa"/>
        <w:tblLook w:val="04A0" w:firstRow="1" w:lastRow="0" w:firstColumn="1" w:lastColumn="0" w:noHBand="0" w:noVBand="1"/>
      </w:tblPr>
      <w:tblGrid>
        <w:gridCol w:w="3119"/>
        <w:gridCol w:w="1559"/>
        <w:gridCol w:w="2268"/>
        <w:gridCol w:w="1559"/>
        <w:gridCol w:w="1559"/>
      </w:tblGrid>
      <w:tr w:rsidR="00BC5EBA" w:rsidRPr="008C4EC2" w14:paraId="5142E2E1" w14:textId="77777777" w:rsidTr="00BC5EBA">
        <w:trPr>
          <w:trHeight w:val="304"/>
        </w:trPr>
        <w:tc>
          <w:tcPr>
            <w:tcW w:w="3119" w:type="dxa"/>
            <w:tcBorders>
              <w:top w:val="nil"/>
              <w:left w:val="nil"/>
              <w:bottom w:val="nil"/>
              <w:right w:val="nil"/>
            </w:tcBorders>
            <w:shd w:val="clear" w:color="auto" w:fill="auto"/>
            <w:noWrap/>
            <w:vAlign w:val="center"/>
            <w:hideMark/>
          </w:tcPr>
          <w:p w14:paraId="5142E2DB" w14:textId="77777777" w:rsidR="00BC5EBA" w:rsidRPr="0018547A" w:rsidRDefault="00BC5EBA" w:rsidP="00BC5EBA">
            <w:pPr>
              <w:rPr>
                <w:rFonts w:ascii="Calibri" w:eastAsia="Calibri" w:hAnsi="Calibri" w:cs="Calibri"/>
                <w:i/>
                <w:iCs/>
                <w:color w:val="00183D"/>
                <w:sz w:val="14"/>
                <w:szCs w:val="14"/>
                <w:lang w:val="el-GR"/>
              </w:rPr>
            </w:pPr>
            <w:r>
              <w:rPr>
                <w:rFonts w:ascii="Calibri" w:eastAsia="Calibri" w:hAnsi="Calibri" w:cs="Calibri"/>
                <w:i/>
                <w:iCs/>
                <w:color w:val="00183D"/>
                <w:sz w:val="14"/>
                <w:szCs w:val="14"/>
                <w:lang w:val="el-GR" w:eastAsia="en-GB"/>
              </w:rPr>
              <w:t>Σε εκατομμύρια Ευρώ</w:t>
            </w:r>
          </w:p>
        </w:tc>
        <w:tc>
          <w:tcPr>
            <w:tcW w:w="1559" w:type="dxa"/>
            <w:tcBorders>
              <w:top w:val="nil"/>
              <w:left w:val="nil"/>
              <w:bottom w:val="nil"/>
              <w:right w:val="nil"/>
            </w:tcBorders>
            <w:shd w:val="clear" w:color="auto" w:fill="F2F2F2" w:themeFill="background1" w:themeFillShade="F2"/>
            <w:noWrap/>
            <w:vAlign w:val="center"/>
            <w:hideMark/>
          </w:tcPr>
          <w:p w14:paraId="5142E2DC" w14:textId="77777777" w:rsidR="00BC5EBA" w:rsidRPr="000C322C" w:rsidRDefault="00BC5EBA" w:rsidP="00BC5EBA">
            <w:pPr>
              <w:jc w:val="right"/>
              <w:rPr>
                <w:rFonts w:ascii="Calibri" w:eastAsia="Calibri" w:hAnsi="Calibri" w:cs="Calibri"/>
                <w:b/>
                <w:bCs/>
                <w:color w:val="01B1D7"/>
                <w:sz w:val="21"/>
                <w:szCs w:val="21"/>
                <w:lang w:val="el-GR"/>
              </w:rPr>
            </w:pPr>
            <w:r>
              <w:rPr>
                <w:rFonts w:ascii="Calibri" w:hAnsi="Calibri"/>
                <w:b/>
                <w:color w:val="01B1D7"/>
                <w:sz w:val="21"/>
                <w:lang w:val="el-GR"/>
              </w:rPr>
              <w:t>Α</w:t>
            </w:r>
            <w:r>
              <w:rPr>
                <w:rFonts w:ascii="Calibri" w:hAnsi="Calibri"/>
                <w:b/>
                <w:color w:val="01B1D7"/>
                <w:sz w:val="21"/>
              </w:rPr>
              <w:t>’</w:t>
            </w:r>
            <w:r>
              <w:rPr>
                <w:rFonts w:ascii="Calibri" w:hAnsi="Calibri"/>
                <w:b/>
                <w:color w:val="01B1D7"/>
                <w:sz w:val="21"/>
                <w:lang w:val="el-GR"/>
              </w:rPr>
              <w:t xml:space="preserve"> Εξάμηνο 2021</w:t>
            </w:r>
          </w:p>
        </w:tc>
        <w:tc>
          <w:tcPr>
            <w:tcW w:w="2268" w:type="dxa"/>
            <w:tcBorders>
              <w:top w:val="nil"/>
              <w:left w:val="nil"/>
              <w:bottom w:val="nil"/>
              <w:right w:val="nil"/>
            </w:tcBorders>
            <w:vAlign w:val="center"/>
          </w:tcPr>
          <w:p w14:paraId="5142E2DD" w14:textId="77777777" w:rsidR="00BC5EBA" w:rsidRDefault="00BC5EBA" w:rsidP="00BC5EBA">
            <w:pPr>
              <w:jc w:val="right"/>
              <w:rPr>
                <w:rFonts w:ascii="Calibri" w:hAnsi="Calibri"/>
                <w:b/>
                <w:color w:val="00183D"/>
                <w:sz w:val="21"/>
                <w:lang w:val="el-GR"/>
              </w:rPr>
            </w:pPr>
            <w:r>
              <w:rPr>
                <w:rFonts w:ascii="Calibri" w:hAnsi="Calibri"/>
                <w:b/>
                <w:color w:val="00183D"/>
                <w:sz w:val="21"/>
                <w:lang w:val="el-GR"/>
              </w:rPr>
              <w:t xml:space="preserve">Μεταβολή </w:t>
            </w:r>
            <w:r w:rsidRPr="0018547A">
              <w:rPr>
                <w:rFonts w:ascii="Calibri" w:hAnsi="Calibri"/>
                <w:b/>
                <w:color w:val="00183D"/>
                <w:sz w:val="21"/>
                <w:lang w:val="el-GR"/>
              </w:rPr>
              <w:t>%</w:t>
            </w:r>
          </w:p>
          <w:p w14:paraId="5F39AF13" w14:textId="77777777" w:rsidR="00C45E87" w:rsidRDefault="00BC5EBA" w:rsidP="00BC5EBA">
            <w:pPr>
              <w:jc w:val="right"/>
              <w:rPr>
                <w:rFonts w:ascii="Calibri" w:hAnsi="Calibri"/>
                <w:b/>
                <w:color w:val="00183D"/>
                <w:sz w:val="21"/>
                <w:lang w:val="el-GR"/>
              </w:rPr>
            </w:pPr>
            <w:r>
              <w:rPr>
                <w:rFonts w:ascii="Calibri" w:hAnsi="Calibri"/>
                <w:b/>
                <w:color w:val="00183D"/>
                <w:sz w:val="21"/>
              </w:rPr>
              <w:t>A</w:t>
            </w:r>
            <w:r w:rsidRPr="00BC5EBA">
              <w:rPr>
                <w:rFonts w:ascii="Calibri" w:hAnsi="Calibri"/>
                <w:b/>
                <w:color w:val="00183D"/>
                <w:sz w:val="21"/>
                <w:lang w:val="el-GR"/>
              </w:rPr>
              <w:t xml:space="preserve">’ </w:t>
            </w:r>
            <w:r>
              <w:rPr>
                <w:rFonts w:ascii="Calibri" w:hAnsi="Calibri"/>
                <w:b/>
                <w:color w:val="00183D"/>
                <w:sz w:val="21"/>
                <w:lang w:val="el-GR"/>
              </w:rPr>
              <w:t xml:space="preserve">Εξάμηνο </w:t>
            </w:r>
            <w:r w:rsidRPr="00BC5EBA">
              <w:rPr>
                <w:rFonts w:ascii="Calibri" w:hAnsi="Calibri"/>
                <w:b/>
                <w:color w:val="00183D"/>
                <w:sz w:val="21"/>
                <w:lang w:val="el-GR"/>
              </w:rPr>
              <w:t>20</w:t>
            </w:r>
            <w:r>
              <w:rPr>
                <w:rFonts w:ascii="Calibri" w:hAnsi="Calibri"/>
                <w:b/>
                <w:color w:val="00183D"/>
                <w:sz w:val="21"/>
                <w:lang w:val="el-GR"/>
              </w:rPr>
              <w:t xml:space="preserve">20 έναντι </w:t>
            </w:r>
          </w:p>
          <w:p w14:paraId="5142E2DE" w14:textId="3484A1A3" w:rsidR="00BC5EBA" w:rsidRDefault="00BC5EBA" w:rsidP="00BC5EBA">
            <w:pPr>
              <w:jc w:val="right"/>
              <w:rPr>
                <w:rFonts w:ascii="Calibri" w:hAnsi="Calibri"/>
                <w:b/>
                <w:color w:val="00183D"/>
                <w:sz w:val="21"/>
                <w:lang w:val="el-GR"/>
              </w:rPr>
            </w:pPr>
            <w:r>
              <w:rPr>
                <w:rFonts w:ascii="Calibri" w:hAnsi="Calibri"/>
                <w:b/>
                <w:color w:val="00183D"/>
                <w:sz w:val="21"/>
                <w:lang w:val="el-GR"/>
              </w:rPr>
              <w:t>Α’ Εξάμηνο 2021</w:t>
            </w:r>
            <w:r w:rsidRPr="0018547A">
              <w:rPr>
                <w:rFonts w:ascii="Calibri" w:hAnsi="Calibri"/>
                <w:b/>
                <w:color w:val="00183D"/>
                <w:sz w:val="21"/>
                <w:lang w:val="el-GR"/>
              </w:rPr>
              <w:t xml:space="preserve"> </w:t>
            </w:r>
          </w:p>
        </w:tc>
        <w:tc>
          <w:tcPr>
            <w:tcW w:w="1559" w:type="dxa"/>
            <w:tcBorders>
              <w:top w:val="nil"/>
              <w:left w:val="nil"/>
              <w:bottom w:val="nil"/>
              <w:right w:val="nil"/>
            </w:tcBorders>
            <w:vAlign w:val="center"/>
          </w:tcPr>
          <w:p w14:paraId="5142E2DF" w14:textId="77777777" w:rsidR="00BC5EBA" w:rsidRPr="00BC5EBA" w:rsidRDefault="00BC5EBA" w:rsidP="00BC5EBA">
            <w:pPr>
              <w:jc w:val="right"/>
              <w:rPr>
                <w:rFonts w:ascii="Calibri" w:hAnsi="Calibri"/>
                <w:b/>
                <w:color w:val="00183D"/>
                <w:sz w:val="21"/>
              </w:rPr>
            </w:pPr>
            <w:r>
              <w:rPr>
                <w:rFonts w:ascii="Calibri" w:hAnsi="Calibri"/>
                <w:b/>
                <w:color w:val="00183D"/>
                <w:sz w:val="21"/>
                <w:lang w:val="el-GR"/>
              </w:rPr>
              <w:t>Α</w:t>
            </w:r>
            <w:r>
              <w:rPr>
                <w:rFonts w:ascii="Calibri" w:hAnsi="Calibri"/>
                <w:b/>
                <w:color w:val="00183D"/>
                <w:sz w:val="21"/>
              </w:rPr>
              <w:t>’</w:t>
            </w:r>
            <w:r>
              <w:rPr>
                <w:rFonts w:ascii="Calibri" w:hAnsi="Calibri"/>
                <w:b/>
                <w:color w:val="00183D"/>
                <w:sz w:val="21"/>
                <w:lang w:val="el-GR"/>
              </w:rPr>
              <w:t xml:space="preserve"> Εξάμηνο</w:t>
            </w:r>
            <w:r w:rsidRPr="000C322C">
              <w:rPr>
                <w:rFonts w:ascii="Calibri" w:hAnsi="Calibri"/>
                <w:b/>
                <w:color w:val="00183D"/>
                <w:sz w:val="21"/>
                <w:lang w:val="el-GR"/>
              </w:rPr>
              <w:t xml:space="preserve"> </w:t>
            </w:r>
            <w:r>
              <w:rPr>
                <w:rFonts w:ascii="Calibri" w:hAnsi="Calibri"/>
                <w:b/>
                <w:color w:val="00183D"/>
                <w:sz w:val="21"/>
              </w:rPr>
              <w:t>2020</w:t>
            </w:r>
          </w:p>
        </w:tc>
        <w:tc>
          <w:tcPr>
            <w:tcW w:w="1559" w:type="dxa"/>
            <w:tcBorders>
              <w:top w:val="nil"/>
              <w:left w:val="nil"/>
              <w:bottom w:val="nil"/>
              <w:right w:val="nil"/>
            </w:tcBorders>
            <w:shd w:val="clear" w:color="auto" w:fill="auto"/>
            <w:noWrap/>
            <w:vAlign w:val="center"/>
            <w:hideMark/>
          </w:tcPr>
          <w:p w14:paraId="5142E2E0" w14:textId="77777777" w:rsidR="00BC5EBA" w:rsidRPr="000C322C" w:rsidRDefault="00BC5EBA" w:rsidP="00BC5EBA">
            <w:pPr>
              <w:jc w:val="right"/>
              <w:rPr>
                <w:rFonts w:ascii="Calibri" w:eastAsia="Calibri" w:hAnsi="Calibri" w:cs="Calibri"/>
                <w:b/>
                <w:bCs/>
                <w:color w:val="00183D"/>
                <w:sz w:val="21"/>
                <w:szCs w:val="21"/>
                <w:lang w:val="el-GR"/>
              </w:rPr>
            </w:pPr>
            <w:r>
              <w:rPr>
                <w:rFonts w:ascii="Calibri" w:hAnsi="Calibri"/>
                <w:b/>
                <w:color w:val="00183D"/>
                <w:sz w:val="21"/>
                <w:lang w:val="el-GR"/>
              </w:rPr>
              <w:t>Α</w:t>
            </w:r>
            <w:r>
              <w:rPr>
                <w:rFonts w:ascii="Calibri" w:hAnsi="Calibri"/>
                <w:b/>
                <w:color w:val="00183D"/>
                <w:sz w:val="21"/>
              </w:rPr>
              <w:t>’</w:t>
            </w:r>
            <w:r>
              <w:rPr>
                <w:rFonts w:ascii="Calibri" w:hAnsi="Calibri"/>
                <w:b/>
                <w:color w:val="00183D"/>
                <w:sz w:val="21"/>
                <w:lang w:val="el-GR"/>
              </w:rPr>
              <w:t xml:space="preserve"> Εξάμηνο</w:t>
            </w:r>
            <w:r w:rsidRPr="000C322C">
              <w:rPr>
                <w:rFonts w:ascii="Calibri" w:hAnsi="Calibri"/>
                <w:b/>
                <w:color w:val="00183D"/>
                <w:sz w:val="21"/>
                <w:lang w:val="el-GR"/>
              </w:rPr>
              <w:t xml:space="preserve"> 2019</w:t>
            </w:r>
          </w:p>
        </w:tc>
      </w:tr>
      <w:tr w:rsidR="00BC5EBA" w:rsidRPr="00FE10ED" w14:paraId="5142E2E7" w14:textId="77777777" w:rsidTr="00BC5EBA">
        <w:trPr>
          <w:trHeight w:val="274"/>
        </w:trPr>
        <w:tc>
          <w:tcPr>
            <w:tcW w:w="3119" w:type="dxa"/>
            <w:tcBorders>
              <w:top w:val="single" w:sz="4" w:space="0" w:color="auto"/>
              <w:left w:val="nil"/>
              <w:bottom w:val="single" w:sz="4" w:space="0" w:color="auto"/>
              <w:right w:val="nil"/>
            </w:tcBorders>
            <w:shd w:val="clear" w:color="auto" w:fill="auto"/>
            <w:noWrap/>
            <w:vAlign w:val="center"/>
            <w:hideMark/>
          </w:tcPr>
          <w:p w14:paraId="5142E2E2" w14:textId="77777777" w:rsidR="00BC5EBA" w:rsidRPr="00FE10ED" w:rsidRDefault="00BC5EBA" w:rsidP="00BC5EBA">
            <w:pPr>
              <w:rPr>
                <w:rFonts w:ascii="Calibri" w:eastAsia="Calibri" w:hAnsi="Calibri" w:cs="Calibri"/>
                <w:color w:val="00183D"/>
                <w:sz w:val="21"/>
                <w:szCs w:val="21"/>
              </w:rPr>
            </w:pPr>
            <w:r>
              <w:rPr>
                <w:rFonts w:ascii="Calibri" w:hAnsi="Calibri"/>
                <w:color w:val="00183D"/>
                <w:sz w:val="21"/>
                <w:lang w:val="el-GR"/>
              </w:rPr>
              <w:t>Κύκλος Εργασιών</w:t>
            </w:r>
          </w:p>
        </w:tc>
        <w:tc>
          <w:tcPr>
            <w:tcW w:w="1559" w:type="dxa"/>
            <w:tcBorders>
              <w:top w:val="single" w:sz="4" w:space="0" w:color="auto"/>
              <w:left w:val="nil"/>
              <w:bottom w:val="single" w:sz="4" w:space="0" w:color="auto"/>
              <w:right w:val="nil"/>
            </w:tcBorders>
            <w:shd w:val="clear" w:color="auto" w:fill="F2F2F2" w:themeFill="background1" w:themeFillShade="F2"/>
            <w:noWrap/>
            <w:vAlign w:val="center"/>
          </w:tcPr>
          <w:p w14:paraId="5142E2E3" w14:textId="77777777" w:rsidR="00BC5EBA" w:rsidRPr="00BC5EBA" w:rsidRDefault="00BC5EBA" w:rsidP="00BC5EBA">
            <w:pPr>
              <w:jc w:val="right"/>
              <w:rPr>
                <w:rFonts w:ascii="Calibri" w:eastAsia="Calibri" w:hAnsi="Calibri" w:cs="Calibri"/>
                <w:color w:val="00183D"/>
                <w:sz w:val="21"/>
                <w:szCs w:val="21"/>
              </w:rPr>
            </w:pPr>
            <w:r>
              <w:rPr>
                <w:rFonts w:ascii="Calibri" w:eastAsia="Calibri" w:hAnsi="Calibri" w:cs="Calibri"/>
                <w:color w:val="00183D"/>
                <w:sz w:val="21"/>
                <w:szCs w:val="21"/>
              </w:rPr>
              <w:t>821,1</w:t>
            </w:r>
          </w:p>
        </w:tc>
        <w:tc>
          <w:tcPr>
            <w:tcW w:w="2268" w:type="dxa"/>
            <w:tcBorders>
              <w:top w:val="single" w:sz="4" w:space="0" w:color="auto"/>
              <w:left w:val="nil"/>
              <w:bottom w:val="single" w:sz="4" w:space="0" w:color="auto"/>
              <w:right w:val="nil"/>
            </w:tcBorders>
            <w:vAlign w:val="center"/>
          </w:tcPr>
          <w:p w14:paraId="5142E2E4" w14:textId="77777777" w:rsidR="00BC5EBA" w:rsidRDefault="00BC5EBA" w:rsidP="00BC5EBA">
            <w:pPr>
              <w:jc w:val="right"/>
              <w:rPr>
                <w:rFonts w:ascii="Calibri" w:hAnsi="Calibri"/>
                <w:color w:val="00183D"/>
                <w:sz w:val="21"/>
              </w:rPr>
            </w:pPr>
            <w:r>
              <w:rPr>
                <w:rFonts w:ascii="Calibri" w:hAnsi="Calibri"/>
                <w:color w:val="00183D"/>
                <w:sz w:val="21"/>
              </w:rPr>
              <w:t>4,4%</w:t>
            </w:r>
          </w:p>
        </w:tc>
        <w:tc>
          <w:tcPr>
            <w:tcW w:w="1559" w:type="dxa"/>
            <w:tcBorders>
              <w:top w:val="single" w:sz="4" w:space="0" w:color="auto"/>
              <w:left w:val="nil"/>
              <w:bottom w:val="single" w:sz="4" w:space="0" w:color="auto"/>
              <w:right w:val="nil"/>
            </w:tcBorders>
            <w:vAlign w:val="center"/>
          </w:tcPr>
          <w:p w14:paraId="5142E2E5" w14:textId="77777777" w:rsidR="00BC5EBA" w:rsidRDefault="00BC5EBA" w:rsidP="00BC5EBA">
            <w:pPr>
              <w:jc w:val="right"/>
              <w:rPr>
                <w:rFonts w:ascii="Calibri" w:hAnsi="Calibri"/>
                <w:color w:val="00183D"/>
                <w:sz w:val="21"/>
              </w:rPr>
            </w:pPr>
            <w:r>
              <w:rPr>
                <w:rFonts w:ascii="Calibri" w:hAnsi="Calibri"/>
                <w:color w:val="00183D"/>
                <w:sz w:val="21"/>
              </w:rPr>
              <w:t>786,3</w:t>
            </w:r>
          </w:p>
        </w:tc>
        <w:tc>
          <w:tcPr>
            <w:tcW w:w="1559" w:type="dxa"/>
            <w:tcBorders>
              <w:top w:val="single" w:sz="4" w:space="0" w:color="auto"/>
              <w:left w:val="nil"/>
              <w:bottom w:val="single" w:sz="4" w:space="0" w:color="auto"/>
              <w:right w:val="nil"/>
            </w:tcBorders>
            <w:shd w:val="clear" w:color="auto" w:fill="auto"/>
            <w:noWrap/>
            <w:vAlign w:val="center"/>
          </w:tcPr>
          <w:p w14:paraId="5142E2E6" w14:textId="77777777" w:rsidR="00BC5EBA" w:rsidRPr="00FE10ED" w:rsidRDefault="00BC5EBA" w:rsidP="00BC5EBA">
            <w:pPr>
              <w:jc w:val="right"/>
              <w:rPr>
                <w:rFonts w:ascii="Calibri" w:eastAsia="Calibri" w:hAnsi="Calibri" w:cs="Calibri"/>
                <w:color w:val="00183D"/>
                <w:sz w:val="21"/>
                <w:szCs w:val="21"/>
              </w:rPr>
            </w:pPr>
            <w:r>
              <w:rPr>
                <w:rFonts w:ascii="Calibri" w:hAnsi="Calibri"/>
                <w:color w:val="00183D"/>
                <w:sz w:val="21"/>
              </w:rPr>
              <w:t>785,4</w:t>
            </w:r>
          </w:p>
        </w:tc>
      </w:tr>
      <w:tr w:rsidR="00BC5EBA" w:rsidRPr="00FE10ED" w14:paraId="5142E2ED" w14:textId="77777777" w:rsidTr="00BC5EBA">
        <w:trPr>
          <w:trHeight w:val="274"/>
        </w:trPr>
        <w:tc>
          <w:tcPr>
            <w:tcW w:w="3119" w:type="dxa"/>
            <w:tcBorders>
              <w:top w:val="nil"/>
              <w:left w:val="nil"/>
              <w:bottom w:val="single" w:sz="4" w:space="0" w:color="auto"/>
              <w:right w:val="nil"/>
            </w:tcBorders>
            <w:shd w:val="clear" w:color="auto" w:fill="auto"/>
            <w:noWrap/>
            <w:vAlign w:val="center"/>
            <w:hideMark/>
          </w:tcPr>
          <w:p w14:paraId="5142E2E8" w14:textId="77777777" w:rsidR="00BC5EBA" w:rsidRPr="00FE10ED" w:rsidRDefault="00BC5EBA" w:rsidP="00BC5EBA">
            <w:pPr>
              <w:rPr>
                <w:rFonts w:ascii="Calibri" w:eastAsia="Calibri" w:hAnsi="Calibri" w:cs="Calibri"/>
                <w:color w:val="00183D"/>
                <w:sz w:val="21"/>
                <w:szCs w:val="21"/>
              </w:rPr>
            </w:pPr>
            <w:r>
              <w:rPr>
                <w:rFonts w:ascii="Calibri" w:hAnsi="Calibri"/>
                <w:color w:val="00183D"/>
                <w:sz w:val="21"/>
                <w:lang w:val="el-GR"/>
              </w:rPr>
              <w:t xml:space="preserve">Λειτουργικά Κέρδη </w:t>
            </w:r>
            <w:r>
              <w:rPr>
                <w:rFonts w:ascii="Calibri" w:hAnsi="Calibri"/>
                <w:color w:val="00183D"/>
                <w:sz w:val="21"/>
              </w:rPr>
              <w:t>(EBITDA)</w:t>
            </w:r>
          </w:p>
        </w:tc>
        <w:tc>
          <w:tcPr>
            <w:tcW w:w="1559" w:type="dxa"/>
            <w:tcBorders>
              <w:top w:val="nil"/>
              <w:left w:val="nil"/>
              <w:bottom w:val="single" w:sz="4" w:space="0" w:color="auto"/>
              <w:right w:val="nil"/>
            </w:tcBorders>
            <w:shd w:val="clear" w:color="auto" w:fill="F2F2F2" w:themeFill="background1" w:themeFillShade="F2"/>
            <w:noWrap/>
            <w:vAlign w:val="center"/>
          </w:tcPr>
          <w:p w14:paraId="5142E2E9" w14:textId="77777777" w:rsidR="00BC5EBA" w:rsidRPr="00BF08E3" w:rsidRDefault="00BC5EBA" w:rsidP="00BC5EBA">
            <w:pPr>
              <w:jc w:val="right"/>
              <w:rPr>
                <w:rFonts w:ascii="Calibri" w:eastAsia="Calibri" w:hAnsi="Calibri" w:cs="Calibri"/>
                <w:color w:val="00183D"/>
                <w:sz w:val="21"/>
                <w:szCs w:val="21"/>
                <w:lang w:val="el-GR"/>
              </w:rPr>
            </w:pPr>
            <w:r>
              <w:rPr>
                <w:rFonts w:ascii="Calibri" w:eastAsia="Calibri" w:hAnsi="Calibri" w:cs="Calibri"/>
                <w:color w:val="00183D"/>
                <w:sz w:val="21"/>
                <w:szCs w:val="21"/>
                <w:lang w:val="el-GR"/>
              </w:rPr>
              <w:t>142,6</w:t>
            </w:r>
          </w:p>
        </w:tc>
        <w:tc>
          <w:tcPr>
            <w:tcW w:w="2268" w:type="dxa"/>
            <w:tcBorders>
              <w:top w:val="nil"/>
              <w:left w:val="nil"/>
              <w:bottom w:val="single" w:sz="4" w:space="0" w:color="auto"/>
              <w:right w:val="nil"/>
            </w:tcBorders>
            <w:vAlign w:val="center"/>
          </w:tcPr>
          <w:p w14:paraId="5142E2EA" w14:textId="77777777" w:rsidR="00BC5EBA" w:rsidRDefault="00BC5EBA" w:rsidP="00BC5EBA">
            <w:pPr>
              <w:jc w:val="right"/>
              <w:rPr>
                <w:rFonts w:ascii="Calibri" w:hAnsi="Calibri"/>
                <w:color w:val="00183D"/>
                <w:sz w:val="21"/>
              </w:rPr>
            </w:pPr>
            <w:r>
              <w:rPr>
                <w:rFonts w:ascii="Calibri" w:hAnsi="Calibri"/>
                <w:color w:val="00183D"/>
                <w:sz w:val="21"/>
              </w:rPr>
              <w:t>4,2%</w:t>
            </w:r>
          </w:p>
        </w:tc>
        <w:tc>
          <w:tcPr>
            <w:tcW w:w="1559" w:type="dxa"/>
            <w:tcBorders>
              <w:top w:val="nil"/>
              <w:left w:val="nil"/>
              <w:bottom w:val="single" w:sz="4" w:space="0" w:color="auto"/>
              <w:right w:val="nil"/>
            </w:tcBorders>
            <w:vAlign w:val="center"/>
          </w:tcPr>
          <w:p w14:paraId="5142E2EB" w14:textId="77777777" w:rsidR="00BC5EBA" w:rsidRDefault="00BC5EBA" w:rsidP="00BC5EBA">
            <w:pPr>
              <w:jc w:val="right"/>
              <w:rPr>
                <w:rFonts w:ascii="Calibri" w:hAnsi="Calibri"/>
                <w:color w:val="00183D"/>
                <w:sz w:val="21"/>
              </w:rPr>
            </w:pPr>
            <w:r>
              <w:rPr>
                <w:rFonts w:ascii="Calibri" w:hAnsi="Calibri"/>
                <w:color w:val="00183D"/>
                <w:sz w:val="21"/>
              </w:rPr>
              <w:t>136,8</w:t>
            </w:r>
          </w:p>
        </w:tc>
        <w:tc>
          <w:tcPr>
            <w:tcW w:w="1559" w:type="dxa"/>
            <w:tcBorders>
              <w:top w:val="nil"/>
              <w:left w:val="nil"/>
              <w:bottom w:val="single" w:sz="4" w:space="0" w:color="auto"/>
              <w:right w:val="nil"/>
            </w:tcBorders>
            <w:shd w:val="clear" w:color="auto" w:fill="auto"/>
            <w:noWrap/>
            <w:vAlign w:val="center"/>
          </w:tcPr>
          <w:p w14:paraId="5142E2EC" w14:textId="77777777" w:rsidR="00BC5EBA" w:rsidRPr="00FE10ED" w:rsidRDefault="00BC5EBA" w:rsidP="00BC5EBA">
            <w:pPr>
              <w:jc w:val="right"/>
              <w:rPr>
                <w:rFonts w:ascii="Calibri" w:eastAsia="Calibri" w:hAnsi="Calibri" w:cs="Calibri"/>
                <w:color w:val="00183D"/>
                <w:sz w:val="21"/>
                <w:szCs w:val="21"/>
              </w:rPr>
            </w:pPr>
            <w:r>
              <w:rPr>
                <w:rFonts w:ascii="Calibri" w:hAnsi="Calibri"/>
                <w:color w:val="00183D"/>
                <w:sz w:val="21"/>
              </w:rPr>
              <w:t>122,2</w:t>
            </w:r>
          </w:p>
        </w:tc>
      </w:tr>
      <w:tr w:rsidR="00BC5EBA" w:rsidRPr="00FE10ED" w14:paraId="5142E2F3" w14:textId="77777777" w:rsidTr="00BC5EBA">
        <w:trPr>
          <w:trHeight w:val="274"/>
        </w:trPr>
        <w:tc>
          <w:tcPr>
            <w:tcW w:w="3119" w:type="dxa"/>
            <w:tcBorders>
              <w:top w:val="nil"/>
              <w:left w:val="nil"/>
              <w:bottom w:val="single" w:sz="4" w:space="0" w:color="auto"/>
              <w:right w:val="nil"/>
            </w:tcBorders>
            <w:shd w:val="clear" w:color="auto" w:fill="auto"/>
            <w:noWrap/>
            <w:vAlign w:val="center"/>
            <w:hideMark/>
          </w:tcPr>
          <w:p w14:paraId="5142E2EE" w14:textId="77777777" w:rsidR="00BC5EBA" w:rsidRPr="0018547A" w:rsidRDefault="00BC5EBA" w:rsidP="00BC5EBA">
            <w:pPr>
              <w:rPr>
                <w:rFonts w:ascii="Calibri" w:eastAsia="Calibri" w:hAnsi="Calibri" w:cs="Calibri"/>
                <w:color w:val="00183D"/>
                <w:sz w:val="21"/>
                <w:szCs w:val="21"/>
                <w:lang w:val="el-GR"/>
              </w:rPr>
            </w:pPr>
            <w:r w:rsidRPr="0018547A">
              <w:rPr>
                <w:rFonts w:ascii="Calibri" w:hAnsi="Calibri"/>
                <w:color w:val="00183D"/>
                <w:sz w:val="21"/>
                <w:lang w:val="el-GR"/>
              </w:rPr>
              <w:t xml:space="preserve">Καθαρά κέρδη μετά </w:t>
            </w:r>
            <w:r>
              <w:rPr>
                <w:rFonts w:ascii="Calibri" w:hAnsi="Calibri"/>
                <w:color w:val="00183D"/>
                <w:sz w:val="21"/>
                <w:lang w:val="el-GR"/>
              </w:rPr>
              <w:t>από φόρους</w:t>
            </w:r>
            <w:r w:rsidRPr="0018547A">
              <w:rPr>
                <w:rFonts w:ascii="Calibri" w:hAnsi="Calibri"/>
                <w:color w:val="00183D"/>
                <w:sz w:val="21"/>
                <w:lang w:val="el-GR"/>
              </w:rPr>
              <w:t xml:space="preserve"> </w:t>
            </w:r>
            <w:r>
              <w:rPr>
                <w:rFonts w:ascii="Calibri" w:hAnsi="Calibri"/>
                <w:color w:val="00183D"/>
                <w:sz w:val="21"/>
                <w:lang w:val="el-GR"/>
              </w:rPr>
              <w:t>&amp;</w:t>
            </w:r>
            <w:r w:rsidRPr="0018547A">
              <w:rPr>
                <w:rFonts w:ascii="Calibri" w:hAnsi="Calibri"/>
                <w:color w:val="00183D"/>
                <w:sz w:val="21"/>
                <w:lang w:val="el-GR"/>
              </w:rPr>
              <w:t xml:space="preserve"> δικαιώματ</w:t>
            </w:r>
            <w:r>
              <w:rPr>
                <w:rFonts w:ascii="Calibri" w:hAnsi="Calibri"/>
                <w:color w:val="00183D"/>
                <w:sz w:val="21"/>
                <w:lang w:val="el-GR"/>
              </w:rPr>
              <w:t>α</w:t>
            </w:r>
            <w:r w:rsidRPr="0018547A">
              <w:rPr>
                <w:rFonts w:ascii="Calibri" w:hAnsi="Calibri"/>
                <w:color w:val="00183D"/>
                <w:sz w:val="21"/>
                <w:lang w:val="el-GR"/>
              </w:rPr>
              <w:t xml:space="preserve"> μειοψηφίας</w:t>
            </w:r>
          </w:p>
        </w:tc>
        <w:tc>
          <w:tcPr>
            <w:tcW w:w="1559" w:type="dxa"/>
            <w:tcBorders>
              <w:top w:val="nil"/>
              <w:left w:val="nil"/>
              <w:bottom w:val="single" w:sz="4" w:space="0" w:color="auto"/>
              <w:right w:val="nil"/>
            </w:tcBorders>
            <w:shd w:val="clear" w:color="auto" w:fill="F2F2F2" w:themeFill="background1" w:themeFillShade="F2"/>
            <w:noWrap/>
            <w:vAlign w:val="center"/>
          </w:tcPr>
          <w:p w14:paraId="5142E2EF" w14:textId="77777777" w:rsidR="00BC5EBA" w:rsidRPr="0018547A" w:rsidRDefault="00DD2833" w:rsidP="00BC5EBA">
            <w:pPr>
              <w:jc w:val="right"/>
              <w:rPr>
                <w:rFonts w:ascii="Calibri" w:eastAsia="Calibri" w:hAnsi="Calibri" w:cs="Calibri"/>
                <w:color w:val="00183D"/>
                <w:sz w:val="21"/>
                <w:szCs w:val="21"/>
                <w:lang w:val="el-GR"/>
              </w:rPr>
            </w:pPr>
            <w:r>
              <w:rPr>
                <w:rFonts w:ascii="Calibri" w:eastAsia="Calibri" w:hAnsi="Calibri" w:cs="Calibri"/>
                <w:color w:val="00183D"/>
                <w:sz w:val="21"/>
                <w:szCs w:val="21"/>
                <w:lang w:val="el-GR"/>
              </w:rPr>
              <w:t>5</w:t>
            </w:r>
            <w:r>
              <w:rPr>
                <w:rFonts w:ascii="Calibri" w:eastAsia="Calibri" w:hAnsi="Calibri" w:cs="Calibri"/>
                <w:color w:val="00183D"/>
                <w:sz w:val="21"/>
                <w:szCs w:val="21"/>
              </w:rPr>
              <w:t>8,0</w:t>
            </w:r>
          </w:p>
        </w:tc>
        <w:tc>
          <w:tcPr>
            <w:tcW w:w="2268" w:type="dxa"/>
            <w:tcBorders>
              <w:top w:val="nil"/>
              <w:left w:val="nil"/>
              <w:bottom w:val="single" w:sz="4" w:space="0" w:color="auto"/>
              <w:right w:val="nil"/>
            </w:tcBorders>
            <w:vAlign w:val="center"/>
          </w:tcPr>
          <w:p w14:paraId="5142E2F0" w14:textId="77777777" w:rsidR="00BC5EBA" w:rsidRDefault="00DD2833" w:rsidP="00BC5EBA">
            <w:pPr>
              <w:jc w:val="right"/>
              <w:rPr>
                <w:rFonts w:ascii="Calibri" w:hAnsi="Calibri"/>
                <w:color w:val="00183D"/>
                <w:sz w:val="21"/>
              </w:rPr>
            </w:pPr>
            <w:r>
              <w:rPr>
                <w:rFonts w:ascii="Calibri" w:hAnsi="Calibri"/>
                <w:color w:val="00183D"/>
                <w:sz w:val="21"/>
                <w:lang w:val="el-GR"/>
              </w:rPr>
              <w:t>158,</w:t>
            </w:r>
            <w:r>
              <w:rPr>
                <w:rFonts w:ascii="Calibri" w:hAnsi="Calibri"/>
                <w:color w:val="00183D"/>
                <w:sz w:val="21"/>
              </w:rPr>
              <w:t>9</w:t>
            </w:r>
            <w:r w:rsidR="00BC5EBA">
              <w:rPr>
                <w:rFonts w:ascii="Calibri" w:hAnsi="Calibri"/>
                <w:color w:val="00183D"/>
                <w:sz w:val="21"/>
              </w:rPr>
              <w:t>%</w:t>
            </w:r>
          </w:p>
        </w:tc>
        <w:tc>
          <w:tcPr>
            <w:tcW w:w="1559" w:type="dxa"/>
            <w:tcBorders>
              <w:top w:val="nil"/>
              <w:left w:val="nil"/>
              <w:bottom w:val="single" w:sz="4" w:space="0" w:color="auto"/>
              <w:right w:val="nil"/>
            </w:tcBorders>
            <w:vAlign w:val="center"/>
          </w:tcPr>
          <w:p w14:paraId="5142E2F1" w14:textId="77777777" w:rsidR="00BC5EBA" w:rsidRDefault="00BC5EBA" w:rsidP="00BC5EBA">
            <w:pPr>
              <w:jc w:val="right"/>
              <w:rPr>
                <w:rFonts w:ascii="Calibri" w:hAnsi="Calibri"/>
                <w:color w:val="00183D"/>
                <w:sz w:val="21"/>
              </w:rPr>
            </w:pPr>
            <w:r>
              <w:rPr>
                <w:rFonts w:ascii="Calibri" w:hAnsi="Calibri"/>
                <w:color w:val="00183D"/>
                <w:sz w:val="21"/>
              </w:rPr>
              <w:t>22,4</w:t>
            </w:r>
          </w:p>
        </w:tc>
        <w:tc>
          <w:tcPr>
            <w:tcW w:w="1559" w:type="dxa"/>
            <w:tcBorders>
              <w:top w:val="nil"/>
              <w:left w:val="nil"/>
              <w:bottom w:val="single" w:sz="4" w:space="0" w:color="auto"/>
              <w:right w:val="nil"/>
            </w:tcBorders>
            <w:shd w:val="clear" w:color="auto" w:fill="auto"/>
            <w:noWrap/>
            <w:vAlign w:val="center"/>
          </w:tcPr>
          <w:p w14:paraId="5142E2F2" w14:textId="77777777" w:rsidR="00BC5EBA" w:rsidRPr="00FE10ED" w:rsidRDefault="00BC5EBA" w:rsidP="00BC5EBA">
            <w:pPr>
              <w:jc w:val="right"/>
              <w:rPr>
                <w:rFonts w:ascii="Calibri" w:eastAsia="Calibri" w:hAnsi="Calibri" w:cs="Calibri"/>
                <w:color w:val="00183D"/>
                <w:sz w:val="21"/>
                <w:szCs w:val="21"/>
              </w:rPr>
            </w:pPr>
            <w:r>
              <w:rPr>
                <w:rFonts w:ascii="Calibri" w:hAnsi="Calibri"/>
                <w:color w:val="00183D"/>
                <w:sz w:val="21"/>
              </w:rPr>
              <w:t>13,3</w:t>
            </w:r>
          </w:p>
        </w:tc>
      </w:tr>
    </w:tbl>
    <w:p w14:paraId="5142E2F4" w14:textId="77777777" w:rsidR="00F575A4" w:rsidRDefault="00B9646B" w:rsidP="00F575A4">
      <w:pPr>
        <w:pStyle w:val="Copy"/>
        <w:jc w:val="both"/>
        <w:rPr>
          <w:rFonts w:ascii="Calibri" w:eastAsia="Calibri" w:hAnsi="Calibri" w:cs="Calibri"/>
        </w:rPr>
      </w:pPr>
      <w:r w:rsidRPr="002C09EE">
        <w:rPr>
          <w:rFonts w:ascii="Calibri" w:hAnsi="Calibri" w:cs="Calibri"/>
          <w:noProof/>
          <w:color w:val="FF0000"/>
          <w:lang w:val="en-US"/>
        </w:rPr>
        <mc:AlternateContent>
          <mc:Choice Requires="wps">
            <w:drawing>
              <wp:anchor distT="0" distB="0" distL="114300" distR="114300" simplePos="0" relativeHeight="251658256" behindDoc="1" locked="0" layoutInCell="1" allowOverlap="1" wp14:anchorId="5142E626" wp14:editId="2C30B966">
                <wp:simplePos x="0" y="0"/>
                <wp:positionH relativeFrom="margin">
                  <wp:posOffset>-69037</wp:posOffset>
                </wp:positionH>
                <wp:positionV relativeFrom="paragraph">
                  <wp:posOffset>135433</wp:posOffset>
                </wp:positionV>
                <wp:extent cx="6505575" cy="921715"/>
                <wp:effectExtent l="0" t="0" r="9525" b="0"/>
                <wp:wrapNone/>
                <wp:docPr id="36" name="Rectangle 36"/>
                <wp:cNvGraphicFramePr/>
                <a:graphic xmlns:a="http://schemas.openxmlformats.org/drawingml/2006/main">
                  <a:graphicData uri="http://schemas.microsoft.com/office/word/2010/wordprocessingShape">
                    <wps:wsp>
                      <wps:cNvSpPr/>
                      <wps:spPr>
                        <a:xfrm>
                          <a:off x="0" y="0"/>
                          <a:ext cx="6505575" cy="921715"/>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42E670" w14:textId="77777777" w:rsidR="005B3A1B" w:rsidRPr="00F31E5A" w:rsidRDefault="005B3A1B" w:rsidP="00B9646B">
                            <w:pPr>
                              <w:pStyle w:val="quoteitalics"/>
                              <w:spacing w:after="0" w:line="240" w:lineRule="auto"/>
                              <w:ind w:firstLine="288"/>
                              <w:jc w:val="both"/>
                              <w:rPr>
                                <w:rFonts w:ascii="Calibri" w:eastAsia="Calibri" w:hAnsi="Calibri" w:cs="Calibri"/>
                                <w:b/>
                                <w:bCs/>
                                <w:i w:val="0"/>
                                <w:lang w:val="el-GR"/>
                              </w:rPr>
                            </w:pPr>
                            <w:r w:rsidRPr="00F31E5A">
                              <w:rPr>
                                <w:rFonts w:ascii="Calibri" w:eastAsia="Calibri" w:hAnsi="Calibri" w:cs="Calibri"/>
                                <w:b/>
                                <w:i w:val="0"/>
                                <w:iCs w:val="0"/>
                                <w:color w:val="00183D"/>
                                <w:sz w:val="20"/>
                                <w:szCs w:val="21"/>
                                <w:lang w:val="el-GR"/>
                              </w:rPr>
                              <w:t>Δημήτρης Παπαλεξόπουλος, Πρόεδρος της Εκτελεστικής Επιτροπής του Ομίλου</w:t>
                            </w:r>
                          </w:p>
                          <w:p w14:paraId="5142E671" w14:textId="7AF4F22C" w:rsidR="005B3A1B" w:rsidRPr="004B5CFF" w:rsidRDefault="005B3A1B" w:rsidP="00ED7DED">
                            <w:pPr>
                              <w:pStyle w:val="Copy-bullets"/>
                              <w:numPr>
                                <w:ilvl w:val="0"/>
                                <w:numId w:val="0"/>
                              </w:numPr>
                              <w:ind w:left="288"/>
                              <w:jc w:val="both"/>
                              <w:rPr>
                                <w:lang w:val="el-GR"/>
                              </w:rPr>
                            </w:pPr>
                            <w:r>
                              <w:rPr>
                                <w:lang w:val="el-GR"/>
                              </w:rPr>
                              <w:t>«Βλέπουμε θετικές προοπτικές για αύξηση του κύκλου εργασιών</w:t>
                            </w:r>
                            <w:r w:rsidRPr="002D2893">
                              <w:rPr>
                                <w:lang w:val="el-GR"/>
                              </w:rPr>
                              <w:t>, με</w:t>
                            </w:r>
                            <w:r>
                              <w:rPr>
                                <w:lang w:val="el-GR"/>
                              </w:rPr>
                              <w:t xml:space="preserve"> βελτίωση τόσο σε  όγκους όσο και σε τιμές. Βραχυπρόθεσμα</w:t>
                            </w:r>
                            <w:r w:rsidRPr="004B5CFF">
                              <w:rPr>
                                <w:lang w:val="el-GR"/>
                              </w:rPr>
                              <w:t xml:space="preserve"> όμως, η εκτίναξη των ναύλων και των τιμών ενέργειας δε</w:t>
                            </w:r>
                            <w:r>
                              <w:rPr>
                                <w:lang w:val="el-GR"/>
                              </w:rPr>
                              <w:t>ν</w:t>
                            </w:r>
                            <w:r w:rsidRPr="004B5CFF">
                              <w:rPr>
                                <w:lang w:val="el-GR"/>
                              </w:rPr>
                              <w:t xml:space="preserve"> επιτρέπουν </w:t>
                            </w:r>
                            <w:r>
                              <w:rPr>
                                <w:lang w:val="el-GR"/>
                              </w:rPr>
                              <w:t>τη μετάφραση της αύξησης των πωλήσεων σε βελτίωση των περιθωρίων</w:t>
                            </w:r>
                            <w:r w:rsidRPr="002D2893">
                              <w:rPr>
                                <w:lang w:val="el-G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5142E626" id="Rectangle 36" o:spid="_x0000_s1026" style="position:absolute;left:0;text-align:left;margin-left:-5.45pt;margin-top:10.65pt;width:512.25pt;height:72.6pt;z-index:-25165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" fillcolor="#f2f2f2" stroked="f" strokeweight="1.25pt">
                <v:textbox>
                  <w:txbxContent>
                    <w:p w14:paraId="5142E670" w14:textId="77777777" w:rsidR="005B3A1B" w:rsidRPr="00F31E5A" w:rsidRDefault="005B3A1B" w:rsidP="00B9646B">
                      <w:pPr>
                        <w:pStyle w:val="quoteitalics"/>
                        <w:spacing w:after="0" w:line="240" w:lineRule="auto"/>
                        <w:ind w:firstLine="288"/>
                        <w:jc w:val="both"/>
                        <w:rPr>
                          <w:rFonts w:ascii="Calibri" w:eastAsia="Calibri" w:hAnsi="Calibri" w:cs="Calibri"/>
                          <w:b/>
                          <w:bCs/>
                          <w:i w:val="0"/>
                          <w:lang w:val="el-GR"/>
                        </w:rPr>
                      </w:pPr>
                      <w:r w:rsidRPr="00F31E5A">
                        <w:rPr>
                          <w:rFonts w:ascii="Calibri" w:eastAsia="Calibri" w:hAnsi="Calibri" w:cs="Calibri"/>
                          <w:b/>
                          <w:i w:val="0"/>
                          <w:iCs w:val="0"/>
                          <w:color w:val="00183D"/>
                          <w:sz w:val="20"/>
                          <w:szCs w:val="21"/>
                          <w:lang w:val="el-GR"/>
                        </w:rPr>
                        <w:t>Δημήτρης Παπαλεξόπουλος, Πρόεδρος της Εκτελεστικής Επιτροπής του Ομίλου</w:t>
                      </w:r>
                    </w:p>
                    <w:p w14:paraId="5142E671" w14:textId="7AF4F22C" w:rsidR="005B3A1B" w:rsidRPr="004B5CFF" w:rsidRDefault="005B3A1B" w:rsidP="00ED7DED">
                      <w:pPr>
                        <w:pStyle w:val="Copy-bullets"/>
                        <w:numPr>
                          <w:ilvl w:val="0"/>
                          <w:numId w:val="0"/>
                        </w:numPr>
                        <w:ind w:left="288"/>
                        <w:jc w:val="both"/>
                        <w:rPr>
                          <w:lang w:val="el-GR"/>
                        </w:rPr>
                      </w:pPr>
                      <w:r>
                        <w:rPr>
                          <w:lang w:val="el-GR"/>
                        </w:rPr>
                        <w:t>«Βλέπουμε θετικές προοπτικές για αύξηση του κύκλου εργασιών</w:t>
                      </w:r>
                      <w:r w:rsidRPr="002D2893">
                        <w:rPr>
                          <w:lang w:val="el-GR"/>
                        </w:rPr>
                        <w:t>, με</w:t>
                      </w:r>
                      <w:r>
                        <w:rPr>
                          <w:lang w:val="el-GR"/>
                        </w:rPr>
                        <w:t xml:space="preserve"> βελτίωση τόσο σε  όγκους όσο και σε τιμές. Βραχυπρόθεσμα</w:t>
                      </w:r>
                      <w:r w:rsidRPr="004B5CFF">
                        <w:rPr>
                          <w:lang w:val="el-GR"/>
                        </w:rPr>
                        <w:t xml:space="preserve"> όμως, η εκτίναξη των ναύλων και των τιμών ενέργειας δε</w:t>
                      </w:r>
                      <w:r>
                        <w:rPr>
                          <w:lang w:val="el-GR"/>
                        </w:rPr>
                        <w:t>ν</w:t>
                      </w:r>
                      <w:r w:rsidRPr="004B5CFF">
                        <w:rPr>
                          <w:lang w:val="el-GR"/>
                        </w:rPr>
                        <w:t xml:space="preserve"> επιτρέπουν </w:t>
                      </w:r>
                      <w:r>
                        <w:rPr>
                          <w:lang w:val="el-GR"/>
                        </w:rPr>
                        <w:t>τη μετάφραση της αύξησης των πωλήσεων σε βελτίωση των περιθωρίων</w:t>
                      </w:r>
                      <w:r w:rsidRPr="002D2893">
                        <w:rPr>
                          <w:lang w:val="el-GR"/>
                        </w:rPr>
                        <w:t>.»</w:t>
                      </w:r>
                    </w:p>
                  </w:txbxContent>
                </v:textbox>
                <w10:wrap anchorx="margin"/>
              </v:rect>
            </w:pict>
          </mc:Fallback>
        </mc:AlternateContent>
      </w:r>
    </w:p>
    <w:p w14:paraId="5142E2F5" w14:textId="77777777" w:rsidR="00F575A4" w:rsidRPr="00DA3A0A" w:rsidRDefault="009173D0" w:rsidP="00B9646B">
      <w:pPr>
        <w:pStyle w:val="Copy"/>
        <w:jc w:val="both"/>
        <w:rPr>
          <w:rFonts w:ascii="Calibri" w:eastAsia="Calibri" w:hAnsi="Calibri" w:cs="Calibri"/>
          <w:lang w:val="el-GR"/>
        </w:rPr>
      </w:pPr>
      <w:r w:rsidRPr="009173D0">
        <w:rPr>
          <w:rFonts w:ascii="Calibri" w:eastAsia="Calibri" w:hAnsi="Calibri" w:cs="Calibri"/>
          <w:sz w:val="20"/>
          <w:lang w:val="el-GR"/>
        </w:rPr>
        <w:br/>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r w:rsidR="00F575A4" w:rsidRPr="00E337A1">
        <w:rPr>
          <w:rFonts w:ascii="Calibri" w:eastAsia="Calibri" w:hAnsi="Calibri" w:cs="Calibri"/>
          <w:lang w:val="el-GR"/>
        </w:rPr>
        <w:tab/>
      </w:r>
    </w:p>
    <w:p w14:paraId="7944CAE3" w14:textId="77777777" w:rsidR="004917E1" w:rsidRDefault="004917E1" w:rsidP="00F575A4">
      <w:pPr>
        <w:pStyle w:val="C"/>
        <w:spacing w:line="240" w:lineRule="auto"/>
        <w:jc w:val="both"/>
        <w:rPr>
          <w:rFonts w:cs="Calibri"/>
          <w:noProof/>
          <w:lang w:val="el-GR" w:eastAsia="en-GB"/>
        </w:rPr>
      </w:pPr>
    </w:p>
    <w:p w14:paraId="5142E2F6" w14:textId="2A82DC29" w:rsidR="00F575A4" w:rsidRPr="00BC5EBA" w:rsidRDefault="00F575A4" w:rsidP="00F575A4">
      <w:pPr>
        <w:pStyle w:val="C"/>
        <w:spacing w:line="240" w:lineRule="auto"/>
        <w:jc w:val="both"/>
        <w:rPr>
          <w:rFonts w:eastAsia="Calibri" w:cs="Calibri"/>
          <w:b w:val="0"/>
          <w:bCs w:val="0"/>
          <w:noProof/>
          <w:lang w:val="el-GR" w:eastAsia="el-GR"/>
        </w:rPr>
      </w:pPr>
      <w:r w:rsidRPr="00FF076E">
        <w:rPr>
          <w:rFonts w:cs="Calibri"/>
          <w:noProof/>
          <w:lang w:val="en-US"/>
        </w:rPr>
        <w:lastRenderedPageBreak/>
        <mc:AlternateContent>
          <mc:Choice Requires="wps">
            <w:drawing>
              <wp:anchor distT="0" distB="0" distL="114300" distR="114300" simplePos="0" relativeHeight="251658241" behindDoc="0" locked="0" layoutInCell="1" allowOverlap="1" wp14:anchorId="5142E628" wp14:editId="5142E629">
                <wp:simplePos x="0" y="0"/>
                <wp:positionH relativeFrom="column">
                  <wp:posOffset>2209</wp:posOffset>
                </wp:positionH>
                <wp:positionV relativeFrom="paragraph">
                  <wp:posOffset>227074</wp:posOffset>
                </wp:positionV>
                <wp:extent cx="6112446" cy="0"/>
                <wp:effectExtent l="0" t="0" r="9525" b="12700"/>
                <wp:wrapNone/>
                <wp:docPr id="21" name="Straight Connector 21"/>
                <wp:cNvGraphicFramePr/>
                <a:graphic xmlns:a="http://schemas.openxmlformats.org/drawingml/2006/main">
                  <a:graphicData uri="http://schemas.microsoft.com/office/word/2010/wordprocessingShape">
                    <wps:wsp>
                      <wps:cNvCnPr/>
                      <wps:spPr>
                        <a:xfrm>
                          <a:off x="0" y="0"/>
                          <a:ext cx="6112446"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CB3476D" id="Straight Connector 2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9pt" to="48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" strokecolor="#00183d" strokeweight=".25pt"/>
            </w:pict>
          </mc:Fallback>
        </mc:AlternateContent>
      </w:r>
      <w:r>
        <w:rPr>
          <w:rFonts w:cs="Calibri"/>
          <w:noProof/>
          <w:lang w:val="el-GR" w:eastAsia="en-GB"/>
        </w:rPr>
        <w:t>Επιδόσεις γεωγραφικών τομέων το Α’</w:t>
      </w:r>
      <w:r w:rsidRPr="009E3369">
        <w:rPr>
          <w:rFonts w:eastAsia="Calibri" w:cs="Calibri"/>
          <w:bCs w:val="0"/>
          <w:noProof/>
          <w:lang w:val="el-GR" w:eastAsia="el-GR"/>
        </w:rPr>
        <w:t xml:space="preserve"> εξάμηνο 202</w:t>
      </w:r>
      <w:r w:rsidR="00BC5EBA" w:rsidRPr="00BC5EBA">
        <w:rPr>
          <w:rFonts w:eastAsia="Calibri" w:cs="Calibri"/>
          <w:bCs w:val="0"/>
          <w:noProof/>
          <w:lang w:val="el-GR" w:eastAsia="el-GR"/>
        </w:rPr>
        <w:t>1</w:t>
      </w:r>
    </w:p>
    <w:p w14:paraId="5142E2F7" w14:textId="77777777" w:rsidR="00F575A4" w:rsidRPr="007F72FD" w:rsidRDefault="00F575A4" w:rsidP="00F575A4">
      <w:pPr>
        <w:jc w:val="both"/>
        <w:rPr>
          <w:rFonts w:ascii="Calibri" w:eastAsia="Calibri" w:hAnsi="Calibri" w:cs="Calibri"/>
          <w:b/>
          <w:bCs/>
          <w:color w:val="01B1D7"/>
          <w:sz w:val="28"/>
          <w:szCs w:val="28"/>
          <w:lang w:val="el-GR"/>
        </w:rPr>
      </w:pPr>
      <w:r>
        <w:rPr>
          <w:rFonts w:ascii="Calibri" w:eastAsia="Calibri" w:hAnsi="Calibri" w:cs="Calibri"/>
          <w:b/>
          <w:bCs/>
          <w:color w:val="01B1D7"/>
          <w:sz w:val="28"/>
          <w:szCs w:val="28"/>
          <w:lang w:val="el-GR"/>
        </w:rPr>
        <w:t>ΗΠΑ</w:t>
      </w:r>
    </w:p>
    <w:p w14:paraId="5142E2F8" w14:textId="77777777" w:rsidR="00F575A4" w:rsidRPr="007F72FD" w:rsidRDefault="00F575A4" w:rsidP="00F575A4">
      <w:pPr>
        <w:jc w:val="both"/>
        <w:rPr>
          <w:rFonts w:ascii="Calibri" w:eastAsia="Calibri" w:hAnsi="Calibri" w:cs="Calibri"/>
          <w:lang w:val="el-GR"/>
        </w:rPr>
      </w:pPr>
      <w:r w:rsidRPr="00FE10ED">
        <w:rPr>
          <w:rFonts w:ascii="Calibri" w:hAnsi="Calibri" w:cs="Calibri"/>
          <w:noProof/>
          <w:color w:val="335B74" w:themeColor="text2"/>
          <w:sz w:val="28"/>
        </w:rPr>
        <mc:AlternateContent>
          <mc:Choice Requires="wps">
            <w:drawing>
              <wp:anchor distT="0" distB="0" distL="114300" distR="114300" simplePos="0" relativeHeight="251658242" behindDoc="0" locked="0" layoutInCell="1" allowOverlap="1" wp14:anchorId="5142E62A" wp14:editId="5142E62B">
                <wp:simplePos x="0" y="0"/>
                <wp:positionH relativeFrom="column">
                  <wp:posOffset>131985</wp:posOffset>
                </wp:positionH>
                <wp:positionV relativeFrom="paragraph">
                  <wp:posOffset>39478</wp:posOffset>
                </wp:positionV>
                <wp:extent cx="1598295" cy="34671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295" cy="346710"/>
                        </a:xfrm>
                        <a:prstGeom prst="rect">
                          <a:avLst/>
                        </a:prstGeom>
                      </wps:spPr>
                      <wps:txbx>
                        <w:txbxContent>
                          <w:p w14:paraId="5142E672"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73" w14:textId="77777777" w:rsidR="005B3A1B" w:rsidRPr="008F0A16" w:rsidRDefault="005B3A1B" w:rsidP="00F575A4">
                            <w:pPr>
                              <w:spacing w:line="216" w:lineRule="auto"/>
                              <w:jc w:val="center"/>
                              <w:rPr>
                                <w:rFonts w:ascii="Calibri Light" w:hAnsi="Calibri Light" w:cs="Calibri Light"/>
                                <w:color w:val="00183D"/>
                                <w:sz w:val="20"/>
                                <w:szCs w:val="18"/>
                                <w:lang w:val="en-CA"/>
                              </w:rPr>
                            </w:pPr>
                          </w:p>
                          <w:p w14:paraId="5142E674"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2A" id="Rectangle 30" o:spid="_x0000_s1027" style="position:absolute;left:0;text-align:left;margin-left:10.4pt;margin-top:3.1pt;width:125.85pt;height:27.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" filled="f" stroked="f">
                <v:textbox>
                  <w:txbxContent>
                    <w:p w14:paraId="5142E672"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73" w14:textId="77777777" w:rsidR="005B3A1B" w:rsidRPr="008F0A16" w:rsidRDefault="005B3A1B" w:rsidP="00F575A4">
                      <w:pPr>
                        <w:spacing w:line="216" w:lineRule="auto"/>
                        <w:jc w:val="center"/>
                        <w:rPr>
                          <w:rFonts w:ascii="Calibri Light" w:hAnsi="Calibri Light" w:cs="Calibri Light"/>
                          <w:color w:val="00183D"/>
                          <w:sz w:val="20"/>
                          <w:szCs w:val="18"/>
                          <w:lang w:val="en-CA"/>
                        </w:rPr>
                      </w:pPr>
                    </w:p>
                    <w:p w14:paraId="5142E674"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r w:rsidRPr="00FE10ED">
        <w:rPr>
          <w:rFonts w:ascii="Calibri" w:hAnsi="Calibri" w:cs="Calibri"/>
          <w:noProof/>
          <w:color w:val="335B74" w:themeColor="text2"/>
          <w:sz w:val="28"/>
        </w:rPr>
        <mc:AlternateContent>
          <mc:Choice Requires="wps">
            <w:drawing>
              <wp:anchor distT="0" distB="0" distL="114300" distR="114300" simplePos="0" relativeHeight="251658240" behindDoc="0" locked="0" layoutInCell="1" allowOverlap="1" wp14:anchorId="5142E62C" wp14:editId="5142E62D">
                <wp:simplePos x="0" y="0"/>
                <wp:positionH relativeFrom="column">
                  <wp:posOffset>1919593</wp:posOffset>
                </wp:positionH>
                <wp:positionV relativeFrom="paragraph">
                  <wp:posOffset>30708</wp:posOffset>
                </wp:positionV>
                <wp:extent cx="1328468" cy="35941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8468" cy="359410"/>
                        </a:xfrm>
                        <a:prstGeom prst="rect">
                          <a:avLst/>
                        </a:prstGeom>
                      </wps:spPr>
                      <wps:txbx>
                        <w:txbxContent>
                          <w:p w14:paraId="5142E675" w14:textId="77777777" w:rsidR="005B3A1B" w:rsidRPr="009E3369" w:rsidRDefault="005B3A1B" w:rsidP="00F575A4">
                            <w:pPr>
                              <w:spacing w:line="216" w:lineRule="auto"/>
                              <w:jc w:val="center"/>
                              <w:rPr>
                                <w:rFonts w:ascii="Calibri" w:hAnsi="Calibri"/>
                                <w:b/>
                                <w:bCs/>
                                <w:color w:val="00183D"/>
                                <w:sz w:val="20"/>
                                <w:szCs w:val="18"/>
                                <w:lang w:val="el-GR"/>
                              </w:rPr>
                            </w:pPr>
                            <w:r>
                              <w:rPr>
                                <w:rFonts w:ascii="Calibri" w:hAnsi="Calibri"/>
                                <w:b/>
                                <w:bCs/>
                                <w:color w:val="00183D"/>
                                <w:sz w:val="20"/>
                                <w:szCs w:val="18"/>
                                <w:lang w:val="el-GR"/>
                              </w:rPr>
                              <w:t>Λειτουργικά Κέρδη (</w:t>
                            </w:r>
                            <w:r w:rsidRPr="00F6411A">
                              <w:rPr>
                                <w:rFonts w:ascii="Calibri" w:hAnsi="Calibri"/>
                                <w:b/>
                                <w:bCs/>
                                <w:color w:val="00183D"/>
                                <w:sz w:val="20"/>
                                <w:szCs w:val="18"/>
                                <w:lang w:val="en-CA"/>
                              </w:rPr>
                              <w:t>EBITDA</w:t>
                            </w:r>
                            <w:r>
                              <w:rPr>
                                <w:rFonts w:ascii="Calibri" w:hAnsi="Calibri"/>
                                <w:b/>
                                <w:bCs/>
                                <w:color w:val="00183D"/>
                                <w:sz w:val="20"/>
                                <w:szCs w:val="18"/>
                                <w:lang w:val="el-GR"/>
                              </w:rPr>
                              <w:t>)</w:t>
                            </w:r>
                          </w:p>
                          <w:p w14:paraId="5142E676" w14:textId="77777777" w:rsidR="005B3A1B" w:rsidRPr="00621C7D" w:rsidRDefault="005B3A1B" w:rsidP="00F575A4">
                            <w:pPr>
                              <w:spacing w:line="216" w:lineRule="auto"/>
                              <w:rPr>
                                <w:rFonts w:ascii="Calibri Light" w:hAnsi="Calibri Light" w:cs="Calibri Light"/>
                                <w:color w:val="00183D"/>
                                <w:sz w:val="18"/>
                                <w:szCs w:val="18"/>
                                <w:lang w:val="en-CA"/>
                              </w:rPr>
                            </w:pPr>
                          </w:p>
                          <w:p w14:paraId="5142E677"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2C" id="Rectangle 74" o:spid="_x0000_s1028" style="position:absolute;left:0;text-align:left;margin-left:151.15pt;margin-top:2.4pt;width:104.6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" filled="f" stroked="f">
                <v:textbox>
                  <w:txbxContent>
                    <w:p w14:paraId="5142E675" w14:textId="77777777" w:rsidR="005B3A1B" w:rsidRPr="009E3369" w:rsidRDefault="005B3A1B" w:rsidP="00F575A4">
                      <w:pPr>
                        <w:spacing w:line="216" w:lineRule="auto"/>
                        <w:jc w:val="center"/>
                        <w:rPr>
                          <w:rFonts w:ascii="Calibri" w:hAnsi="Calibri"/>
                          <w:b/>
                          <w:bCs/>
                          <w:color w:val="00183D"/>
                          <w:sz w:val="20"/>
                          <w:szCs w:val="18"/>
                          <w:lang w:val="el-GR"/>
                        </w:rPr>
                      </w:pPr>
                      <w:r>
                        <w:rPr>
                          <w:rFonts w:ascii="Calibri" w:hAnsi="Calibri"/>
                          <w:b/>
                          <w:bCs/>
                          <w:color w:val="00183D"/>
                          <w:sz w:val="20"/>
                          <w:szCs w:val="18"/>
                          <w:lang w:val="el-GR"/>
                        </w:rPr>
                        <w:t>Λειτουργικά Κέρδη (</w:t>
                      </w:r>
                      <w:r w:rsidRPr="00F6411A">
                        <w:rPr>
                          <w:rFonts w:ascii="Calibri" w:hAnsi="Calibri"/>
                          <w:b/>
                          <w:bCs/>
                          <w:color w:val="00183D"/>
                          <w:sz w:val="20"/>
                          <w:szCs w:val="18"/>
                          <w:lang w:val="en-CA"/>
                        </w:rPr>
                        <w:t>EBITDA</w:t>
                      </w:r>
                      <w:r>
                        <w:rPr>
                          <w:rFonts w:ascii="Calibri" w:hAnsi="Calibri"/>
                          <w:b/>
                          <w:bCs/>
                          <w:color w:val="00183D"/>
                          <w:sz w:val="20"/>
                          <w:szCs w:val="18"/>
                          <w:lang w:val="el-GR"/>
                        </w:rPr>
                        <w:t>)</w:t>
                      </w:r>
                    </w:p>
                    <w:p w14:paraId="5142E676" w14:textId="77777777" w:rsidR="005B3A1B" w:rsidRPr="00621C7D" w:rsidRDefault="005B3A1B" w:rsidP="00F575A4">
                      <w:pPr>
                        <w:spacing w:line="216" w:lineRule="auto"/>
                        <w:rPr>
                          <w:rFonts w:ascii="Calibri Light" w:hAnsi="Calibri Light" w:cs="Calibri Light"/>
                          <w:color w:val="00183D"/>
                          <w:sz w:val="18"/>
                          <w:szCs w:val="18"/>
                          <w:lang w:val="en-CA"/>
                        </w:rPr>
                      </w:pPr>
                    </w:p>
                    <w:p w14:paraId="5142E677"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p>
    <w:p w14:paraId="5142E2F9" w14:textId="77777777" w:rsidR="00F575A4" w:rsidRPr="00FE10ED" w:rsidRDefault="00B9646B" w:rsidP="00F575A4">
      <w:pPr>
        <w:pStyle w:val="Copy"/>
        <w:jc w:val="both"/>
      </w:pPr>
      <w:r>
        <w:rPr>
          <w:noProof/>
          <w:lang w:val="en-US"/>
        </w:rPr>
        <w:drawing>
          <wp:inline distT="0" distB="0" distL="0" distR="0" wp14:anchorId="5142E62E" wp14:editId="5142E62F">
            <wp:extent cx="1787237" cy="1318161"/>
            <wp:effectExtent l="0" t="0" r="3810" b="0"/>
            <wp:docPr id="2" name="Chart 2">
              <a:extLst xmlns:a="http://schemas.openxmlformats.org/drawingml/2006/main">
                <a:ext uri="{FF2B5EF4-FFF2-40B4-BE49-F238E27FC236}">
                  <a16:creationId xmlns:a16="http://schemas.microsoft.com/office/drawing/2014/main" id="{4605D724-64C9-44E6-9345-BDAF47C941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US"/>
        </w:rPr>
        <w:drawing>
          <wp:inline distT="0" distB="0" distL="0" distR="0" wp14:anchorId="5142E630" wp14:editId="5142E631">
            <wp:extent cx="1680359" cy="1258784"/>
            <wp:effectExtent l="0" t="0" r="0" b="0"/>
            <wp:docPr id="5" name="Chart 5">
              <a:extLst xmlns:a="http://schemas.openxmlformats.org/drawingml/2006/main">
                <a:ext uri="{FF2B5EF4-FFF2-40B4-BE49-F238E27FC236}">
                  <a16:creationId xmlns:a16="http://schemas.microsoft.com/office/drawing/2014/main" id="{293EEF0D-947B-4FD4-BEE8-22DB3C56B6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42E2FA" w14:textId="3865C6DA" w:rsidR="00B9646B" w:rsidRPr="008929CA" w:rsidRDefault="00B9646B" w:rsidP="003418F3">
      <w:pPr>
        <w:pStyle w:val="BodyText"/>
        <w:spacing w:before="58"/>
        <w:ind w:right="-82"/>
        <w:jc w:val="both"/>
        <w:rPr>
          <w:rFonts w:cs="Calibri"/>
          <w:color w:val="00183D"/>
          <w:lang w:eastAsia="en-US" w:bidi="ar-SA"/>
        </w:rPr>
      </w:pPr>
      <w:r w:rsidRPr="003418F3">
        <w:rPr>
          <w:rFonts w:cs="Calibri"/>
          <w:color w:val="00183D"/>
          <w:lang w:eastAsia="en-US" w:bidi="ar-SA"/>
        </w:rPr>
        <w:t xml:space="preserve">Τα θεμελιώδη μεγέθη στις </w:t>
      </w:r>
      <w:r w:rsidR="002A33C9">
        <w:rPr>
          <w:rFonts w:cs="Calibri"/>
          <w:color w:val="00183D"/>
          <w:lang w:eastAsia="en-US" w:bidi="ar-SA"/>
        </w:rPr>
        <w:t xml:space="preserve">αγορές των </w:t>
      </w:r>
      <w:r w:rsidRPr="003418F3">
        <w:rPr>
          <w:rFonts w:cs="Calibri"/>
          <w:color w:val="00183D"/>
          <w:lang w:eastAsia="en-US" w:bidi="ar-SA"/>
        </w:rPr>
        <w:t xml:space="preserve">ΗΠΑ διατήρησαν τη δυναμική τους το πρώτο εξάμηνο του έτους. </w:t>
      </w:r>
      <w:r w:rsidR="007E39CD">
        <w:rPr>
          <w:rFonts w:cs="Calibri"/>
          <w:color w:val="00183D"/>
          <w:lang w:eastAsia="en-US" w:bidi="ar-SA"/>
        </w:rPr>
        <w:t>Εν μέσω</w:t>
      </w:r>
      <w:r w:rsidR="002A33C9">
        <w:rPr>
          <w:rFonts w:cs="Calibri"/>
          <w:color w:val="00183D"/>
          <w:lang w:eastAsia="en-US" w:bidi="ar-SA"/>
        </w:rPr>
        <w:t xml:space="preserve"> ενός θετικού μακροοικονομικού περιβάλλοντος, η ζήτηση ενισχύεται </w:t>
      </w:r>
      <w:r w:rsidR="008124C1">
        <w:rPr>
          <w:rFonts w:cs="Calibri"/>
          <w:color w:val="00183D"/>
          <w:lang w:eastAsia="en-US" w:bidi="ar-SA"/>
        </w:rPr>
        <w:t xml:space="preserve">αφενός </w:t>
      </w:r>
      <w:r w:rsidR="000409FC">
        <w:rPr>
          <w:rFonts w:cs="Calibri"/>
          <w:color w:val="00183D"/>
          <w:lang w:eastAsia="en-US" w:bidi="ar-SA"/>
        </w:rPr>
        <w:t xml:space="preserve">μεν λόγω των </w:t>
      </w:r>
      <w:r w:rsidR="002A33C9">
        <w:rPr>
          <w:rFonts w:cs="Calibri"/>
          <w:color w:val="00183D"/>
          <w:lang w:eastAsia="en-US" w:bidi="ar-SA"/>
        </w:rPr>
        <w:t xml:space="preserve"> ισχυρ</w:t>
      </w:r>
      <w:r w:rsidR="008B5EC6">
        <w:rPr>
          <w:rFonts w:cs="Calibri"/>
          <w:color w:val="00183D"/>
          <w:lang w:eastAsia="en-US" w:bidi="ar-SA"/>
        </w:rPr>
        <w:t>ών</w:t>
      </w:r>
      <w:r w:rsidR="002A33C9">
        <w:rPr>
          <w:rFonts w:cs="Calibri"/>
          <w:color w:val="00183D"/>
          <w:lang w:eastAsia="en-US" w:bidi="ar-SA"/>
        </w:rPr>
        <w:t xml:space="preserve"> τάσε</w:t>
      </w:r>
      <w:r w:rsidR="008B5EC6">
        <w:rPr>
          <w:rFonts w:cs="Calibri"/>
          <w:color w:val="00183D"/>
          <w:lang w:eastAsia="en-US" w:bidi="ar-SA"/>
        </w:rPr>
        <w:t>ων</w:t>
      </w:r>
      <w:r w:rsidR="002A33C9">
        <w:rPr>
          <w:rFonts w:cs="Calibri"/>
          <w:color w:val="00183D"/>
          <w:lang w:eastAsia="en-US" w:bidi="ar-SA"/>
        </w:rPr>
        <w:t xml:space="preserve"> της </w:t>
      </w:r>
      <w:r w:rsidRPr="008929CA">
        <w:rPr>
          <w:rFonts w:cs="Calibri"/>
          <w:color w:val="00183D"/>
          <w:lang w:eastAsia="en-US" w:bidi="ar-SA"/>
        </w:rPr>
        <w:t xml:space="preserve"> αγορά</w:t>
      </w:r>
      <w:r w:rsidR="002A33C9">
        <w:rPr>
          <w:rFonts w:cs="Calibri"/>
          <w:color w:val="00183D"/>
          <w:lang w:eastAsia="en-US" w:bidi="ar-SA"/>
        </w:rPr>
        <w:t>ς</w:t>
      </w:r>
      <w:r w:rsidRPr="008929CA">
        <w:rPr>
          <w:rFonts w:cs="Calibri"/>
          <w:color w:val="00183D"/>
          <w:lang w:eastAsia="en-US" w:bidi="ar-SA"/>
        </w:rPr>
        <w:t xml:space="preserve"> </w:t>
      </w:r>
      <w:r w:rsidR="002A33C9">
        <w:rPr>
          <w:rFonts w:cs="Calibri"/>
          <w:color w:val="00183D"/>
          <w:lang w:eastAsia="en-US" w:bidi="ar-SA"/>
        </w:rPr>
        <w:t>κατοικιών</w:t>
      </w:r>
      <w:r w:rsidRPr="008929CA">
        <w:rPr>
          <w:rFonts w:cs="Calibri"/>
          <w:color w:val="00183D"/>
          <w:lang w:eastAsia="en-US" w:bidi="ar-SA"/>
        </w:rPr>
        <w:t xml:space="preserve">, </w:t>
      </w:r>
      <w:r w:rsidR="0083652F">
        <w:rPr>
          <w:rFonts w:cs="Calibri"/>
          <w:color w:val="00183D"/>
          <w:lang w:eastAsia="en-US" w:bidi="ar-SA"/>
        </w:rPr>
        <w:t>η οποία</w:t>
      </w:r>
      <w:r w:rsidR="002A33C9">
        <w:rPr>
          <w:rFonts w:cs="Calibri"/>
          <w:color w:val="00183D"/>
          <w:lang w:eastAsia="en-US" w:bidi="ar-SA"/>
        </w:rPr>
        <w:t xml:space="preserve"> ευνοείται από τα </w:t>
      </w:r>
      <w:r w:rsidRPr="008929CA">
        <w:rPr>
          <w:rFonts w:cs="Calibri"/>
          <w:color w:val="00183D"/>
          <w:lang w:eastAsia="en-US" w:bidi="ar-SA"/>
        </w:rPr>
        <w:t xml:space="preserve">χαμηλά επιτόκια και </w:t>
      </w:r>
      <w:r w:rsidR="002A33C9">
        <w:rPr>
          <w:rFonts w:cs="Calibri"/>
          <w:color w:val="00183D"/>
          <w:lang w:eastAsia="en-US" w:bidi="ar-SA"/>
        </w:rPr>
        <w:t>την έλλειψη</w:t>
      </w:r>
      <w:r w:rsidRPr="008929CA">
        <w:rPr>
          <w:rFonts w:cs="Calibri"/>
          <w:color w:val="00183D"/>
          <w:lang w:eastAsia="en-US" w:bidi="ar-SA"/>
        </w:rPr>
        <w:t xml:space="preserve"> διαθέσιμων προς πώληση κατοικιών</w:t>
      </w:r>
      <w:r w:rsidR="008B5EC6">
        <w:rPr>
          <w:rFonts w:cs="Calibri"/>
          <w:color w:val="00183D"/>
          <w:lang w:eastAsia="en-US" w:bidi="ar-SA"/>
        </w:rPr>
        <w:t xml:space="preserve">, </w:t>
      </w:r>
      <w:r w:rsidR="008124C1">
        <w:rPr>
          <w:rFonts w:cs="Calibri"/>
          <w:color w:val="00183D"/>
          <w:lang w:eastAsia="en-US" w:bidi="ar-SA"/>
        </w:rPr>
        <w:t xml:space="preserve"> αφετέρου</w:t>
      </w:r>
      <w:r w:rsidR="002A33C9">
        <w:rPr>
          <w:rFonts w:cs="Calibri"/>
          <w:color w:val="00183D"/>
          <w:lang w:eastAsia="en-US" w:bidi="ar-SA"/>
        </w:rPr>
        <w:t xml:space="preserve"> </w:t>
      </w:r>
      <w:r w:rsidR="008B5EC6">
        <w:rPr>
          <w:rFonts w:cs="Calibri"/>
          <w:color w:val="00183D"/>
          <w:lang w:eastAsia="en-US" w:bidi="ar-SA"/>
        </w:rPr>
        <w:t>δε λόγω των αυξανόμενων</w:t>
      </w:r>
      <w:r w:rsidRPr="008929CA">
        <w:rPr>
          <w:rFonts w:cs="Calibri"/>
          <w:color w:val="00183D"/>
          <w:lang w:eastAsia="en-US" w:bidi="ar-SA"/>
        </w:rPr>
        <w:t xml:space="preserve"> έργων υποδομής</w:t>
      </w:r>
      <w:r w:rsidR="002A33C9">
        <w:rPr>
          <w:rFonts w:cs="Calibri"/>
          <w:color w:val="00183D"/>
          <w:lang w:eastAsia="en-US" w:bidi="ar-SA"/>
        </w:rPr>
        <w:t xml:space="preserve">. </w:t>
      </w:r>
      <w:r w:rsidRPr="008929CA">
        <w:rPr>
          <w:rFonts w:cs="Calibri"/>
          <w:color w:val="00183D"/>
          <w:lang w:eastAsia="en-US" w:bidi="ar-SA"/>
        </w:rPr>
        <w:t xml:space="preserve">Η ανάπτυξη στις </w:t>
      </w:r>
      <w:proofErr w:type="spellStart"/>
      <w:r w:rsidRPr="008929CA">
        <w:rPr>
          <w:rFonts w:cs="Calibri"/>
          <w:color w:val="00183D"/>
          <w:lang w:eastAsia="en-US" w:bidi="ar-SA"/>
        </w:rPr>
        <w:t>Μεσοατλαντικές</w:t>
      </w:r>
      <w:proofErr w:type="spellEnd"/>
      <w:r w:rsidRPr="008929CA">
        <w:rPr>
          <w:rFonts w:cs="Calibri"/>
          <w:color w:val="00183D"/>
          <w:lang w:eastAsia="en-US" w:bidi="ar-SA"/>
        </w:rPr>
        <w:t xml:space="preserve"> Πολιτείες διατηρήθηκε σε υψηλά επίπεδα και η ζήτηση </w:t>
      </w:r>
      <w:r w:rsidR="008B5EC6">
        <w:rPr>
          <w:rFonts w:cs="Calibri"/>
          <w:color w:val="00183D"/>
          <w:lang w:eastAsia="en-US" w:bidi="ar-SA"/>
        </w:rPr>
        <w:t xml:space="preserve">εξακολούθησε </w:t>
      </w:r>
      <w:r w:rsidRPr="008929CA">
        <w:rPr>
          <w:rFonts w:cs="Calibri"/>
          <w:color w:val="00183D"/>
          <w:lang w:eastAsia="en-US" w:bidi="ar-SA"/>
        </w:rPr>
        <w:t xml:space="preserve"> να </w:t>
      </w:r>
      <w:r w:rsidR="009007AE">
        <w:rPr>
          <w:rFonts w:cs="Calibri"/>
          <w:color w:val="00183D"/>
          <w:lang w:eastAsia="en-US" w:bidi="ar-SA"/>
        </w:rPr>
        <w:t xml:space="preserve">κινείται </w:t>
      </w:r>
      <w:r w:rsidR="005E4EFC">
        <w:rPr>
          <w:rFonts w:cs="Calibri"/>
          <w:color w:val="00183D"/>
          <w:lang w:eastAsia="en-US" w:bidi="ar-SA"/>
        </w:rPr>
        <w:t>ανοδικά</w:t>
      </w:r>
      <w:r w:rsidRPr="008929CA">
        <w:rPr>
          <w:rFonts w:cs="Calibri"/>
          <w:color w:val="00183D"/>
          <w:lang w:eastAsia="en-US" w:bidi="ar-SA"/>
        </w:rPr>
        <w:t xml:space="preserve"> στη Φλόριντα, </w:t>
      </w:r>
      <w:r w:rsidR="002A33C9">
        <w:rPr>
          <w:rFonts w:cs="Calibri"/>
          <w:color w:val="00183D"/>
          <w:lang w:eastAsia="en-US" w:bidi="ar-SA"/>
        </w:rPr>
        <w:t>με τις</w:t>
      </w:r>
      <w:r w:rsidRPr="008929CA">
        <w:rPr>
          <w:rFonts w:cs="Calibri"/>
          <w:color w:val="00183D"/>
          <w:lang w:eastAsia="en-US" w:bidi="ar-SA"/>
        </w:rPr>
        <w:t xml:space="preserve"> τάσεις</w:t>
      </w:r>
      <w:r w:rsidR="002A33C9">
        <w:rPr>
          <w:rFonts w:cs="Calibri"/>
          <w:color w:val="00183D"/>
          <w:lang w:eastAsia="en-US" w:bidi="ar-SA"/>
        </w:rPr>
        <w:t xml:space="preserve"> να διαφοροποιούνται</w:t>
      </w:r>
      <w:r w:rsidRPr="008929CA">
        <w:rPr>
          <w:rFonts w:cs="Calibri"/>
          <w:color w:val="00183D"/>
          <w:lang w:eastAsia="en-US" w:bidi="ar-SA"/>
        </w:rPr>
        <w:t xml:space="preserve"> </w:t>
      </w:r>
      <w:r w:rsidR="002A33C9">
        <w:rPr>
          <w:rFonts w:cs="Calibri"/>
          <w:color w:val="00183D"/>
          <w:lang w:eastAsia="en-US" w:bidi="ar-SA"/>
        </w:rPr>
        <w:t>στις κατά τόπου</w:t>
      </w:r>
      <w:r w:rsidR="008B5EC6">
        <w:rPr>
          <w:rFonts w:cs="Calibri"/>
          <w:color w:val="00183D"/>
          <w:lang w:eastAsia="en-US" w:bidi="ar-SA"/>
        </w:rPr>
        <w:t>ς</w:t>
      </w:r>
      <w:r w:rsidRPr="008929CA">
        <w:rPr>
          <w:rFonts w:cs="Calibri"/>
          <w:color w:val="00183D"/>
          <w:lang w:eastAsia="en-US" w:bidi="ar-SA"/>
        </w:rPr>
        <w:t xml:space="preserve"> περιοχές. Η </w:t>
      </w:r>
      <w:r w:rsidR="002A3266">
        <w:rPr>
          <w:rFonts w:cs="Calibri"/>
          <w:color w:val="00183D"/>
          <w:lang w:eastAsia="en-US" w:bidi="ar-SA"/>
        </w:rPr>
        <w:t xml:space="preserve">αγορά στη </w:t>
      </w:r>
      <w:r w:rsidRPr="008929CA">
        <w:rPr>
          <w:rFonts w:cs="Calibri"/>
          <w:color w:val="00183D"/>
          <w:lang w:eastAsia="en-US" w:bidi="ar-SA"/>
        </w:rPr>
        <w:t>μητροπολιτική περιοχή της Νέας Υόρκης επιβεβαίωσε τις θετικές ε</w:t>
      </w:r>
      <w:r w:rsidR="002A3266">
        <w:rPr>
          <w:rFonts w:cs="Calibri"/>
          <w:color w:val="00183D"/>
          <w:lang w:eastAsia="en-US" w:bidi="ar-SA"/>
        </w:rPr>
        <w:t xml:space="preserve">νδείξεις που παρατηρήθηκαν </w:t>
      </w:r>
      <w:r w:rsidRPr="008929CA">
        <w:rPr>
          <w:rFonts w:cs="Calibri"/>
          <w:color w:val="00183D"/>
          <w:lang w:eastAsia="en-US" w:bidi="ar-SA"/>
        </w:rPr>
        <w:t xml:space="preserve">το πρώτο τρίμηνο του έτους. Συνολικά, η στενότητα της αγοράς αποτυπώθηκε στην αύξηση του κόστους των πρώτων υλών και </w:t>
      </w:r>
      <w:r w:rsidR="0024246C">
        <w:rPr>
          <w:rFonts w:cs="Calibri"/>
          <w:color w:val="00183D"/>
          <w:lang w:eastAsia="en-US" w:bidi="ar-SA"/>
        </w:rPr>
        <w:t xml:space="preserve">γενικά </w:t>
      </w:r>
      <w:r w:rsidRPr="008929CA">
        <w:rPr>
          <w:rFonts w:cs="Calibri"/>
          <w:color w:val="00183D"/>
          <w:lang w:eastAsia="en-US" w:bidi="ar-SA"/>
        </w:rPr>
        <w:t xml:space="preserve">της εφοδιαστικής αλυσίδας, καθώς και στην έλλειψη εργατικού δυναμικού, περιορίζοντας τα περιθώρια κέρδους. </w:t>
      </w:r>
      <w:r w:rsidRPr="003418F3">
        <w:rPr>
          <w:rFonts w:cs="Calibri"/>
          <w:color w:val="00183D"/>
          <w:lang w:eastAsia="en-US" w:bidi="ar-SA"/>
        </w:rPr>
        <w:t>Ο κύ</w:t>
      </w:r>
      <w:r w:rsidR="00DA6C7C">
        <w:rPr>
          <w:rFonts w:cs="Calibri"/>
          <w:color w:val="00183D"/>
          <w:lang w:eastAsia="en-US" w:bidi="ar-SA"/>
        </w:rPr>
        <w:t xml:space="preserve">κλος εργασιών στις ΗΠΑ αυξήθηκε </w:t>
      </w:r>
      <w:r w:rsidR="003418F3">
        <w:rPr>
          <w:rFonts w:cs="Calibri"/>
          <w:color w:val="00183D"/>
          <w:lang w:eastAsia="en-US" w:bidi="ar-SA"/>
        </w:rPr>
        <w:t>10,2</w:t>
      </w:r>
      <w:r w:rsidRPr="003418F3">
        <w:rPr>
          <w:rFonts w:cs="Calibri"/>
          <w:color w:val="00183D"/>
          <w:lang w:eastAsia="en-US" w:bidi="ar-SA"/>
        </w:rPr>
        <w:t>% σε δολάρια ΗΠΑ το πρώτο εξάμηνο του 2021, αλλά σε ευρώ</w:t>
      </w:r>
      <w:r w:rsidR="003418F3">
        <w:rPr>
          <w:rFonts w:cs="Calibri"/>
          <w:color w:val="00183D"/>
          <w:lang w:eastAsia="en-US" w:bidi="ar-SA"/>
        </w:rPr>
        <w:t xml:space="preserve"> παρέμεινε σχεδόν αμετάβλητος (+0,8</w:t>
      </w:r>
      <w:r w:rsidRPr="003418F3">
        <w:rPr>
          <w:rFonts w:cs="Calibri"/>
          <w:color w:val="00183D"/>
          <w:lang w:eastAsia="en-US" w:bidi="ar-SA"/>
        </w:rPr>
        <w:t>%) στα €</w:t>
      </w:r>
      <w:r w:rsidR="003418F3">
        <w:rPr>
          <w:rFonts w:cs="Calibri"/>
          <w:color w:val="00183D"/>
          <w:lang w:eastAsia="en-US" w:bidi="ar-SA"/>
        </w:rPr>
        <w:t>479,3</w:t>
      </w:r>
      <w:r w:rsidRPr="003418F3">
        <w:rPr>
          <w:rFonts w:cs="Calibri"/>
          <w:color w:val="00183D"/>
          <w:lang w:eastAsia="en-US" w:bidi="ar-SA"/>
        </w:rPr>
        <w:t xml:space="preserve"> εκ. Τα λειτουργικά κέ</w:t>
      </w:r>
      <w:r w:rsidR="003418F3" w:rsidRPr="003418F3">
        <w:rPr>
          <w:rFonts w:cs="Calibri"/>
          <w:color w:val="00183D"/>
          <w:lang w:eastAsia="en-US" w:bidi="ar-SA"/>
        </w:rPr>
        <w:t>ρδη (</w:t>
      </w:r>
      <w:r w:rsidR="003418F3">
        <w:rPr>
          <w:rFonts w:cs="Calibri"/>
          <w:color w:val="00183D"/>
          <w:lang w:val="en-US" w:eastAsia="en-US" w:bidi="ar-SA"/>
        </w:rPr>
        <w:t>EBITDA</w:t>
      </w:r>
      <w:r w:rsidR="003418F3" w:rsidRPr="003418F3">
        <w:rPr>
          <w:rFonts w:cs="Calibri"/>
          <w:color w:val="00183D"/>
          <w:lang w:eastAsia="en-US" w:bidi="ar-SA"/>
        </w:rPr>
        <w:t xml:space="preserve">) </w:t>
      </w:r>
      <w:r w:rsidR="002A3266">
        <w:rPr>
          <w:rFonts w:cs="Calibri"/>
          <w:color w:val="00183D"/>
          <w:lang w:eastAsia="en-US" w:bidi="ar-SA"/>
        </w:rPr>
        <w:t>ανήλθαν</w:t>
      </w:r>
      <w:r w:rsidR="003418F3" w:rsidRPr="003418F3">
        <w:rPr>
          <w:rFonts w:cs="Calibri"/>
          <w:color w:val="00183D"/>
          <w:lang w:eastAsia="en-US" w:bidi="ar-SA"/>
        </w:rPr>
        <w:t xml:space="preserve"> σε €81,2 εκ. (αύξηση 1</w:t>
      </w:r>
      <w:r w:rsidR="003418F3">
        <w:rPr>
          <w:rFonts w:cs="Calibri"/>
          <w:color w:val="00183D"/>
          <w:lang w:eastAsia="en-US" w:bidi="ar-SA"/>
        </w:rPr>
        <w:t>,9</w:t>
      </w:r>
      <w:r w:rsidRPr="003418F3">
        <w:rPr>
          <w:rFonts w:cs="Calibri"/>
          <w:color w:val="00183D"/>
          <w:lang w:eastAsia="en-US" w:bidi="ar-SA"/>
        </w:rPr>
        <w:t>% σε δολάρια ΗΠΑ</w:t>
      </w:r>
      <w:r w:rsidR="008929CA" w:rsidRPr="008929CA">
        <w:rPr>
          <w:rFonts w:cs="Calibri"/>
          <w:color w:val="00183D"/>
          <w:lang w:eastAsia="en-US" w:bidi="ar-SA"/>
        </w:rPr>
        <w:t>)</w:t>
      </w:r>
      <w:r w:rsidRPr="003418F3">
        <w:rPr>
          <w:rFonts w:cs="Calibri"/>
          <w:color w:val="00183D"/>
          <w:lang w:eastAsia="en-US" w:bidi="ar-SA"/>
        </w:rPr>
        <w:t>,</w:t>
      </w:r>
      <w:r w:rsidR="002A3266">
        <w:rPr>
          <w:rFonts w:cs="Calibri"/>
          <w:color w:val="00183D"/>
          <w:lang w:eastAsia="en-US" w:bidi="ar-SA"/>
        </w:rPr>
        <w:t xml:space="preserve"> ενώ</w:t>
      </w:r>
      <w:r w:rsidR="003418F3">
        <w:rPr>
          <w:rFonts w:cs="Calibri"/>
          <w:color w:val="00183D"/>
          <w:lang w:eastAsia="en-US" w:bidi="ar-SA"/>
        </w:rPr>
        <w:t xml:space="preserve"> σε Ευρώ </w:t>
      </w:r>
      <w:r w:rsidR="002A3266">
        <w:rPr>
          <w:rFonts w:cs="Calibri"/>
          <w:color w:val="00183D"/>
          <w:lang w:eastAsia="en-US" w:bidi="ar-SA"/>
        </w:rPr>
        <w:t>μειώθηκαν</w:t>
      </w:r>
      <w:r w:rsidR="008929CA">
        <w:rPr>
          <w:rFonts w:cs="Calibri"/>
          <w:color w:val="00183D"/>
          <w:lang w:eastAsia="en-US" w:bidi="ar-SA"/>
        </w:rPr>
        <w:t xml:space="preserve"> κατά 6,8%</w:t>
      </w:r>
      <w:r w:rsidRPr="003418F3">
        <w:rPr>
          <w:rFonts w:cs="Calibri"/>
          <w:color w:val="00183D"/>
          <w:lang w:eastAsia="en-US" w:bidi="ar-SA"/>
        </w:rPr>
        <w:t xml:space="preserve"> σε σ</w:t>
      </w:r>
      <w:r w:rsidR="002A3266">
        <w:rPr>
          <w:rFonts w:cs="Calibri"/>
          <w:color w:val="00183D"/>
          <w:lang w:eastAsia="en-US" w:bidi="ar-SA"/>
        </w:rPr>
        <w:t>ύγκριση</w:t>
      </w:r>
      <w:r w:rsidRPr="003418F3">
        <w:rPr>
          <w:rFonts w:cs="Calibri"/>
          <w:color w:val="00183D"/>
          <w:lang w:eastAsia="en-US" w:bidi="ar-SA"/>
        </w:rPr>
        <w:t xml:space="preserve"> με το πρώτο εξάμηνο του 2020. Αυτή η απόκλιση οφείλεται στο υψηλότερο κόστος συντήρησης κατά το πρώτο εξάμηνο του έτους</w:t>
      </w:r>
      <w:r w:rsidR="000723A0">
        <w:rPr>
          <w:rFonts w:cs="Calibri"/>
          <w:color w:val="00183D"/>
          <w:lang w:eastAsia="en-US" w:bidi="ar-SA"/>
        </w:rPr>
        <w:t>,</w:t>
      </w:r>
      <w:r w:rsidR="008B5EC6">
        <w:rPr>
          <w:rFonts w:cs="Calibri"/>
          <w:color w:val="00183D"/>
          <w:lang w:eastAsia="en-US" w:bidi="ar-SA"/>
        </w:rPr>
        <w:t xml:space="preserve"> καθώς επίσης</w:t>
      </w:r>
      <w:r w:rsidR="000723A0">
        <w:rPr>
          <w:rFonts w:cs="Calibri"/>
          <w:color w:val="00183D"/>
          <w:lang w:eastAsia="en-US" w:bidi="ar-SA"/>
        </w:rPr>
        <w:t xml:space="preserve"> </w:t>
      </w:r>
      <w:r w:rsidRPr="003418F3">
        <w:rPr>
          <w:rFonts w:cs="Calibri"/>
          <w:color w:val="00183D"/>
          <w:lang w:eastAsia="en-US" w:bidi="ar-SA"/>
        </w:rPr>
        <w:t>στ</w:t>
      </w:r>
      <w:r w:rsidR="008B5EC6">
        <w:rPr>
          <w:rFonts w:cs="Calibri"/>
          <w:color w:val="00183D"/>
          <w:lang w:eastAsia="en-US" w:bidi="ar-SA"/>
        </w:rPr>
        <w:t>α</w:t>
      </w:r>
      <w:r w:rsidRPr="003418F3">
        <w:rPr>
          <w:rFonts w:cs="Calibri"/>
          <w:color w:val="00183D"/>
          <w:lang w:eastAsia="en-US" w:bidi="ar-SA"/>
        </w:rPr>
        <w:t xml:space="preserve"> αυξημέν</w:t>
      </w:r>
      <w:r w:rsidR="008B5EC6">
        <w:rPr>
          <w:rFonts w:cs="Calibri"/>
          <w:color w:val="00183D"/>
          <w:lang w:eastAsia="en-US" w:bidi="ar-SA"/>
        </w:rPr>
        <w:t>α</w:t>
      </w:r>
      <w:r w:rsidRPr="003418F3">
        <w:rPr>
          <w:rFonts w:cs="Calibri"/>
          <w:color w:val="00183D"/>
          <w:lang w:eastAsia="en-US" w:bidi="ar-SA"/>
        </w:rPr>
        <w:t xml:space="preserve"> κόστ</w:t>
      </w:r>
      <w:r w:rsidR="008B5EC6">
        <w:rPr>
          <w:rFonts w:cs="Calibri"/>
          <w:color w:val="00183D"/>
          <w:lang w:eastAsia="en-US" w:bidi="ar-SA"/>
        </w:rPr>
        <w:t>η</w:t>
      </w:r>
      <w:r w:rsidR="002A3266">
        <w:rPr>
          <w:rFonts w:cs="Calibri"/>
          <w:color w:val="00183D"/>
          <w:lang w:eastAsia="en-US" w:bidi="ar-SA"/>
        </w:rPr>
        <w:t xml:space="preserve"> </w:t>
      </w:r>
      <w:r w:rsidR="008B5EC6" w:rsidRPr="00490188">
        <w:rPr>
          <w:rFonts w:cs="Calibri"/>
          <w:color w:val="00183D"/>
          <w:lang w:eastAsia="en-US" w:bidi="ar-SA"/>
        </w:rPr>
        <w:t xml:space="preserve"> </w:t>
      </w:r>
      <w:r w:rsidR="008B5EC6">
        <w:rPr>
          <w:rFonts w:cs="Calibri"/>
          <w:color w:val="00183D"/>
          <w:lang w:eastAsia="en-US" w:bidi="ar-SA"/>
        </w:rPr>
        <w:t xml:space="preserve">μεταφορών και </w:t>
      </w:r>
      <w:r w:rsidRPr="008929CA">
        <w:rPr>
          <w:rFonts w:cs="Calibri"/>
          <w:color w:val="00183D"/>
          <w:lang w:eastAsia="en-US" w:bidi="ar-SA"/>
        </w:rPr>
        <w:t>εργασίας</w:t>
      </w:r>
      <w:r w:rsidR="008B5EC6">
        <w:rPr>
          <w:rFonts w:cs="Calibri"/>
          <w:color w:val="00183D"/>
          <w:lang w:eastAsia="en-US" w:bidi="ar-SA"/>
        </w:rPr>
        <w:t>.</w:t>
      </w:r>
    </w:p>
    <w:p w14:paraId="5142E2FB" w14:textId="77777777" w:rsidR="00B9646B" w:rsidRDefault="00B9646B" w:rsidP="00F575A4">
      <w:pPr>
        <w:jc w:val="both"/>
        <w:rPr>
          <w:rFonts w:ascii="Calibri" w:eastAsia="Calibri" w:hAnsi="Calibri" w:cs="Calibri"/>
          <w:b/>
          <w:bCs/>
          <w:color w:val="01B1D7"/>
          <w:sz w:val="28"/>
          <w:szCs w:val="28"/>
          <w:lang w:val="el-GR"/>
        </w:rPr>
      </w:pPr>
    </w:p>
    <w:p w14:paraId="5142E2FC" w14:textId="77777777" w:rsidR="00F575A4" w:rsidRPr="00CF7548" w:rsidRDefault="00F575A4" w:rsidP="00F575A4">
      <w:pPr>
        <w:jc w:val="both"/>
        <w:rPr>
          <w:rFonts w:ascii="Calibri" w:eastAsia="Calibri" w:hAnsi="Calibri" w:cs="Calibri"/>
          <w:b/>
          <w:bCs/>
          <w:color w:val="01B1D7"/>
          <w:sz w:val="28"/>
          <w:szCs w:val="28"/>
          <w:lang w:val="el-GR"/>
        </w:rPr>
      </w:pPr>
      <w:r>
        <w:rPr>
          <w:rFonts w:ascii="Calibri" w:eastAsia="Calibri" w:hAnsi="Calibri" w:cs="Calibri"/>
          <w:b/>
          <w:bCs/>
          <w:color w:val="01B1D7"/>
          <w:sz w:val="28"/>
          <w:szCs w:val="28"/>
          <w:lang w:val="el-GR"/>
        </w:rPr>
        <w:t>Ελλάδα &amp; Δυτική Ευρώπη</w:t>
      </w:r>
    </w:p>
    <w:p w14:paraId="5142E2FD" w14:textId="77777777" w:rsidR="00F575A4" w:rsidRPr="00CF7548" w:rsidRDefault="00F575A4" w:rsidP="00F575A4">
      <w:pPr>
        <w:jc w:val="both"/>
        <w:rPr>
          <w:rFonts w:ascii="Calibri" w:eastAsia="Calibri" w:hAnsi="Calibri" w:cs="Calibri"/>
          <w:b/>
          <w:bCs/>
          <w:color w:val="01B1D7"/>
          <w:sz w:val="28"/>
          <w:szCs w:val="28"/>
          <w:lang w:val="el-GR"/>
        </w:rPr>
      </w:pPr>
      <w:r w:rsidRPr="00FF076E">
        <w:rPr>
          <w:rFonts w:cs="Calibri"/>
          <w:noProof/>
          <w:color w:val="335B74" w:themeColor="text2"/>
        </w:rPr>
        <mc:AlternateContent>
          <mc:Choice Requires="wps">
            <w:drawing>
              <wp:anchor distT="0" distB="0" distL="114300" distR="114300" simplePos="0" relativeHeight="251658243" behindDoc="0" locked="0" layoutInCell="1" allowOverlap="1" wp14:anchorId="5142E632" wp14:editId="5142E633">
                <wp:simplePos x="0" y="0"/>
                <wp:positionH relativeFrom="column">
                  <wp:posOffset>1806575</wp:posOffset>
                </wp:positionH>
                <wp:positionV relativeFrom="paragraph">
                  <wp:posOffset>199918</wp:posOffset>
                </wp:positionV>
                <wp:extent cx="1466490" cy="395207"/>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490" cy="395207"/>
                        </a:xfrm>
                        <a:prstGeom prst="rect">
                          <a:avLst/>
                        </a:prstGeom>
                      </wps:spPr>
                      <wps:txbx>
                        <w:txbxContent>
                          <w:p w14:paraId="5142E678" w14:textId="77777777" w:rsidR="005B3A1B" w:rsidRPr="00CF7548" w:rsidRDefault="005B3A1B" w:rsidP="00F575A4">
                            <w:pPr>
                              <w:spacing w:line="216" w:lineRule="auto"/>
                              <w:jc w:val="center"/>
                              <w:rPr>
                                <w:rFonts w:ascii="Calibri" w:hAnsi="Calibri"/>
                                <w:b/>
                                <w:bCs/>
                                <w:color w:val="00183D"/>
                                <w:sz w:val="20"/>
                                <w:szCs w:val="18"/>
                                <w:lang w:val="el-GR"/>
                              </w:rPr>
                            </w:pPr>
                            <w:r>
                              <w:rPr>
                                <w:rFonts w:ascii="Calibri" w:hAnsi="Calibri"/>
                                <w:b/>
                                <w:bCs/>
                                <w:color w:val="00183D"/>
                                <w:sz w:val="20"/>
                                <w:szCs w:val="18"/>
                                <w:lang w:val="el-GR"/>
                              </w:rPr>
                              <w:t>Λειτουργικά Κέρδη (</w:t>
                            </w:r>
                            <w:r w:rsidRPr="00F6411A">
                              <w:rPr>
                                <w:rFonts w:ascii="Calibri" w:hAnsi="Calibri"/>
                                <w:b/>
                                <w:bCs/>
                                <w:color w:val="00183D"/>
                                <w:sz w:val="20"/>
                                <w:szCs w:val="18"/>
                                <w:lang w:val="en-CA"/>
                              </w:rPr>
                              <w:t>EBITDA</w:t>
                            </w:r>
                            <w:r>
                              <w:rPr>
                                <w:rFonts w:ascii="Calibri" w:hAnsi="Calibri"/>
                                <w:b/>
                                <w:bCs/>
                                <w:color w:val="00183D"/>
                                <w:sz w:val="20"/>
                                <w:szCs w:val="18"/>
                                <w:lang w:val="el-GR"/>
                              </w:rPr>
                              <w:t>)</w:t>
                            </w:r>
                          </w:p>
                          <w:p w14:paraId="5142E679"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7A"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32" id="Rectangle 32" o:spid="_x0000_s1029" style="position:absolute;left:0;text-align:left;margin-left:142.25pt;margin-top:15.75pt;width:115.45pt;height:31.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" filled="f" stroked="f">
                <v:textbox>
                  <w:txbxContent>
                    <w:p w14:paraId="5142E678" w14:textId="77777777" w:rsidR="005B3A1B" w:rsidRPr="00CF7548" w:rsidRDefault="005B3A1B" w:rsidP="00F575A4">
                      <w:pPr>
                        <w:spacing w:line="216" w:lineRule="auto"/>
                        <w:jc w:val="center"/>
                        <w:rPr>
                          <w:rFonts w:ascii="Calibri" w:hAnsi="Calibri"/>
                          <w:b/>
                          <w:bCs/>
                          <w:color w:val="00183D"/>
                          <w:sz w:val="20"/>
                          <w:szCs w:val="18"/>
                          <w:lang w:val="el-GR"/>
                        </w:rPr>
                      </w:pPr>
                      <w:r>
                        <w:rPr>
                          <w:rFonts w:ascii="Calibri" w:hAnsi="Calibri"/>
                          <w:b/>
                          <w:bCs/>
                          <w:color w:val="00183D"/>
                          <w:sz w:val="20"/>
                          <w:szCs w:val="18"/>
                          <w:lang w:val="el-GR"/>
                        </w:rPr>
                        <w:t>Λειτουργικά Κέρδη (</w:t>
                      </w:r>
                      <w:r w:rsidRPr="00F6411A">
                        <w:rPr>
                          <w:rFonts w:ascii="Calibri" w:hAnsi="Calibri"/>
                          <w:b/>
                          <w:bCs/>
                          <w:color w:val="00183D"/>
                          <w:sz w:val="20"/>
                          <w:szCs w:val="18"/>
                          <w:lang w:val="en-CA"/>
                        </w:rPr>
                        <w:t>EBITDA</w:t>
                      </w:r>
                      <w:r>
                        <w:rPr>
                          <w:rFonts w:ascii="Calibri" w:hAnsi="Calibri"/>
                          <w:b/>
                          <w:bCs/>
                          <w:color w:val="00183D"/>
                          <w:sz w:val="20"/>
                          <w:szCs w:val="18"/>
                          <w:lang w:val="el-GR"/>
                        </w:rPr>
                        <w:t>)</w:t>
                      </w:r>
                    </w:p>
                    <w:p w14:paraId="5142E679"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7A"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p>
    <w:p w14:paraId="5142E2FE" w14:textId="77777777" w:rsidR="00F575A4" w:rsidRPr="00CF7548" w:rsidRDefault="00F575A4" w:rsidP="00F575A4">
      <w:pPr>
        <w:jc w:val="both"/>
        <w:rPr>
          <w:rFonts w:ascii="Calibri" w:eastAsia="Calibri" w:hAnsi="Calibri" w:cs="Calibri"/>
          <w:b/>
          <w:bCs/>
          <w:color w:val="01B1D7"/>
          <w:sz w:val="28"/>
          <w:szCs w:val="28"/>
          <w:lang w:val="el-GR"/>
        </w:rPr>
      </w:pPr>
      <w:r>
        <w:rPr>
          <w:rFonts w:ascii="Calibri" w:eastAsia="Calibri" w:hAnsi="Calibri" w:cs="Calibri"/>
          <w:b/>
          <w:bCs/>
          <w:noProof/>
          <w:color w:val="01B1D7"/>
          <w:sz w:val="28"/>
          <w:szCs w:val="28"/>
        </w:rPr>
        <mc:AlternateContent>
          <mc:Choice Requires="wps">
            <w:drawing>
              <wp:anchor distT="0" distB="0" distL="114300" distR="114300" simplePos="0" relativeHeight="251658244" behindDoc="0" locked="0" layoutInCell="1" allowOverlap="1" wp14:anchorId="5142E634" wp14:editId="5142E635">
                <wp:simplePos x="0" y="0"/>
                <wp:positionH relativeFrom="column">
                  <wp:posOffset>318135</wp:posOffset>
                </wp:positionH>
                <wp:positionV relativeFrom="paragraph">
                  <wp:posOffset>8890</wp:posOffset>
                </wp:positionV>
                <wp:extent cx="1189990" cy="393192"/>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192"/>
                        </a:xfrm>
                        <a:prstGeom prst="rect">
                          <a:avLst/>
                        </a:prstGeom>
                      </wps:spPr>
                      <wps:txbx>
                        <w:txbxContent>
                          <w:p w14:paraId="5142E67B"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7C" w14:textId="77777777" w:rsidR="005B3A1B" w:rsidRPr="008F0A16" w:rsidRDefault="005B3A1B" w:rsidP="00F575A4">
                            <w:pPr>
                              <w:spacing w:line="216" w:lineRule="auto"/>
                              <w:jc w:val="center"/>
                              <w:rPr>
                                <w:rFonts w:ascii="Calibri Light" w:hAnsi="Calibri Light" w:cs="Calibri Light"/>
                                <w:color w:val="00183D"/>
                                <w:sz w:val="20"/>
                                <w:szCs w:val="18"/>
                                <w:lang w:val="en-CA"/>
                              </w:rPr>
                            </w:pPr>
                          </w:p>
                          <w:p w14:paraId="5142E67D"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anchor>
            </w:drawing>
          </mc:Choice>
          <mc:Fallback xmlns="">
            <w:pict>
              <v:rect w14:anchorId="5142E634" id="Rectangle 31" o:spid="_x0000_s1030" style="position:absolute;left:0;text-align:left;margin-left:25.05pt;margin-top:.7pt;width:93.7pt;height:30.9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" filled="f" stroked="f">
                <v:textbox>
                  <w:txbxContent>
                    <w:p w14:paraId="5142E67B"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7C" w14:textId="77777777" w:rsidR="005B3A1B" w:rsidRPr="008F0A16" w:rsidRDefault="005B3A1B" w:rsidP="00F575A4">
                      <w:pPr>
                        <w:spacing w:line="216" w:lineRule="auto"/>
                        <w:jc w:val="center"/>
                        <w:rPr>
                          <w:rFonts w:ascii="Calibri Light" w:hAnsi="Calibri Light" w:cs="Calibri Light"/>
                          <w:color w:val="00183D"/>
                          <w:sz w:val="20"/>
                          <w:szCs w:val="18"/>
                          <w:lang w:val="en-CA"/>
                        </w:rPr>
                      </w:pPr>
                    </w:p>
                    <w:p w14:paraId="5142E67D"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p>
    <w:p w14:paraId="5142E2FF" w14:textId="50040890" w:rsidR="00F575A4" w:rsidRDefault="00B9646B" w:rsidP="00F575A4">
      <w:pPr>
        <w:pStyle w:val="C"/>
        <w:spacing w:line="240" w:lineRule="auto"/>
        <w:jc w:val="both"/>
        <w:rPr>
          <w:rFonts w:eastAsia="Calibri" w:cs="Calibri"/>
          <w:noProof/>
        </w:rPr>
      </w:pPr>
      <w:r>
        <w:rPr>
          <w:noProof/>
          <w:lang w:val="en-US"/>
        </w:rPr>
        <w:drawing>
          <wp:inline distT="0" distB="0" distL="0" distR="0" wp14:anchorId="5142E636" wp14:editId="5142E637">
            <wp:extent cx="1636395" cy="1306195"/>
            <wp:effectExtent l="0" t="0" r="1905" b="8255"/>
            <wp:docPr id="37" name="Chart 37">
              <a:extLst xmlns:a="http://schemas.openxmlformats.org/drawingml/2006/main">
                <a:ext uri="{FF2B5EF4-FFF2-40B4-BE49-F238E27FC236}">
                  <a16:creationId xmlns:a16="http://schemas.microsoft.com/office/drawing/2014/main" id="{84FB4E22-18E0-46A5-A8B4-117020E99D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n-US"/>
        </w:rPr>
        <w:drawing>
          <wp:inline distT="0" distB="0" distL="0" distR="0" wp14:anchorId="5142E638" wp14:editId="5142E639">
            <wp:extent cx="1790700" cy="1276350"/>
            <wp:effectExtent l="0" t="0" r="0" b="0"/>
            <wp:docPr id="7" name="Chart 7">
              <a:extLst xmlns:a="http://schemas.openxmlformats.org/drawingml/2006/main">
                <a:ext uri="{FF2B5EF4-FFF2-40B4-BE49-F238E27FC236}">
                  <a16:creationId xmlns:a16="http://schemas.microsoft.com/office/drawing/2014/main" id="{4E6323BA-B206-4163-B6E1-9017BCC725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42E300" w14:textId="0C07F7C3" w:rsidR="00D34292" w:rsidRDefault="00D34292" w:rsidP="004917E1">
      <w:pPr>
        <w:pStyle w:val="BodyText"/>
        <w:ind w:left="0" w:right="-79"/>
        <w:jc w:val="both"/>
        <w:rPr>
          <w:color w:val="00173C"/>
        </w:rPr>
      </w:pPr>
      <w:r>
        <w:rPr>
          <w:color w:val="00173C"/>
        </w:rPr>
        <w:t xml:space="preserve">Στην Ελλάδα οι ενθαρρυντικές τάσεις της ζήτησης που παρατηρήθηκαν το 2020 συνεχίστηκαν και το πρώτο εξάμηνο του 2021, ενισχύοντας την </w:t>
      </w:r>
      <w:r w:rsidR="00BA5860">
        <w:rPr>
          <w:color w:val="00173C"/>
        </w:rPr>
        <w:t xml:space="preserve">άποψη ότι ο κλάδος </w:t>
      </w:r>
      <w:r>
        <w:rPr>
          <w:color w:val="00173C"/>
        </w:rPr>
        <w:t xml:space="preserve">εισέρχεται σε αναπτυξιακό κύκλο. </w:t>
      </w:r>
      <w:r w:rsidR="00BA5860">
        <w:rPr>
          <w:color w:val="00173C"/>
        </w:rPr>
        <w:t xml:space="preserve">Έπειτα από ένα ισχυρό πρώτο τρίμηνο, η ζήτηση εξακολούθησε να αυξάνεται. </w:t>
      </w:r>
      <w:r>
        <w:rPr>
          <w:color w:val="00173C"/>
        </w:rPr>
        <w:t>Ο κλάδος κατοικιών κινήθηκε ανοδικά στα κύρια αστικά κέντρα, ενώ πολλά περιφερειακά κατασκευαστικά έργα και ιδιωτικές επενδύσεις συνεχίζονται σε όλη τη χώρα, γεγονός που αντισταθμίζει τη</w:t>
      </w:r>
      <w:r w:rsidR="00C35202">
        <w:rPr>
          <w:color w:val="00173C"/>
        </w:rPr>
        <w:t>ν ήπια</w:t>
      </w:r>
      <w:r>
        <w:rPr>
          <w:color w:val="00173C"/>
        </w:rPr>
        <w:t xml:space="preserve"> κάμψη </w:t>
      </w:r>
      <w:r w:rsidR="00BA5860">
        <w:rPr>
          <w:color w:val="00173C"/>
        </w:rPr>
        <w:t xml:space="preserve">που παρατηρείται στα έργα που σχετίζονται με </w:t>
      </w:r>
      <w:r>
        <w:rPr>
          <w:color w:val="00173C"/>
        </w:rPr>
        <w:t>τον τουρισμό</w:t>
      </w:r>
      <w:r w:rsidR="000D29CF">
        <w:rPr>
          <w:color w:val="00173C"/>
        </w:rPr>
        <w:t xml:space="preserve">. Η θετική πορεία </w:t>
      </w:r>
      <w:r>
        <w:rPr>
          <w:color w:val="00173C"/>
        </w:rPr>
        <w:t xml:space="preserve">της αγοράς </w:t>
      </w:r>
      <w:r w:rsidR="000D29CF">
        <w:rPr>
          <w:color w:val="00173C"/>
        </w:rPr>
        <w:t>επέτρεψε αύξηση</w:t>
      </w:r>
      <w:r>
        <w:rPr>
          <w:color w:val="00173C"/>
        </w:rPr>
        <w:t xml:space="preserve"> </w:t>
      </w:r>
      <w:r w:rsidR="000D29CF">
        <w:rPr>
          <w:color w:val="00173C"/>
        </w:rPr>
        <w:t>των τιμών</w:t>
      </w:r>
      <w:r>
        <w:rPr>
          <w:color w:val="00173C"/>
        </w:rPr>
        <w:t xml:space="preserve">, περιορίζοντας τις συνέπειες των </w:t>
      </w:r>
      <w:r w:rsidR="000D29CF">
        <w:rPr>
          <w:color w:val="00173C"/>
        </w:rPr>
        <w:t xml:space="preserve">υψηλότερων </w:t>
      </w:r>
      <w:r>
        <w:rPr>
          <w:color w:val="00173C"/>
        </w:rPr>
        <w:t xml:space="preserve">τιμών ενέργειας και ναύλων. Οι εξαγωγές του Ομίλου επίσης αυξήθηκαν </w:t>
      </w:r>
      <w:r w:rsidR="00EE2C3D">
        <w:rPr>
          <w:color w:val="00173C"/>
        </w:rPr>
        <w:t>το πρώτο εξάμηνο</w:t>
      </w:r>
      <w:r>
        <w:rPr>
          <w:color w:val="00173C"/>
        </w:rPr>
        <w:t xml:space="preserve"> χάρη </w:t>
      </w:r>
      <w:r w:rsidR="00EE2C3D">
        <w:rPr>
          <w:color w:val="00173C"/>
        </w:rPr>
        <w:t xml:space="preserve">στην ισχυρή ανάκαμψη </w:t>
      </w:r>
      <w:r>
        <w:rPr>
          <w:color w:val="00173C"/>
        </w:rPr>
        <w:t xml:space="preserve">της ζήτησης </w:t>
      </w:r>
      <w:r w:rsidR="00EE2C3D">
        <w:rPr>
          <w:color w:val="00173C"/>
        </w:rPr>
        <w:t xml:space="preserve">στις αγορές που εξυπηρετεί το δίκτυο του Ομίλου. Ωστόσο, </w:t>
      </w:r>
      <w:r w:rsidR="00EA19F6">
        <w:rPr>
          <w:color w:val="00173C"/>
        </w:rPr>
        <w:t xml:space="preserve">τα περιθώρια των εξαγωγών </w:t>
      </w:r>
      <w:r>
        <w:rPr>
          <w:color w:val="00173C"/>
        </w:rPr>
        <w:t xml:space="preserve">επλήγησαν </w:t>
      </w:r>
      <w:r w:rsidR="00660151">
        <w:rPr>
          <w:color w:val="00173C"/>
        </w:rPr>
        <w:t xml:space="preserve">λόγω της </w:t>
      </w:r>
      <w:r>
        <w:rPr>
          <w:color w:val="00173C"/>
        </w:rPr>
        <w:t>εξασθένηση</w:t>
      </w:r>
      <w:r w:rsidR="00660151">
        <w:rPr>
          <w:color w:val="00173C"/>
        </w:rPr>
        <w:t>ς</w:t>
      </w:r>
      <w:r>
        <w:rPr>
          <w:color w:val="00173C"/>
        </w:rPr>
        <w:t xml:space="preserve"> του αμερικανικού νομίσματος</w:t>
      </w:r>
      <w:r w:rsidR="00660151">
        <w:rPr>
          <w:color w:val="00173C"/>
        </w:rPr>
        <w:t xml:space="preserve"> έναντι του ευρώ </w:t>
      </w:r>
      <w:r>
        <w:rPr>
          <w:color w:val="00173C"/>
        </w:rPr>
        <w:t xml:space="preserve"> και</w:t>
      </w:r>
      <w:r w:rsidR="00660151">
        <w:rPr>
          <w:color w:val="00173C"/>
        </w:rPr>
        <w:t xml:space="preserve"> λόγω</w:t>
      </w:r>
      <w:r>
        <w:rPr>
          <w:color w:val="00173C"/>
        </w:rPr>
        <w:t xml:space="preserve"> </w:t>
      </w:r>
      <w:r w:rsidR="00660151">
        <w:rPr>
          <w:color w:val="00173C"/>
        </w:rPr>
        <w:t xml:space="preserve">αύξησης των </w:t>
      </w:r>
      <w:r>
        <w:rPr>
          <w:color w:val="00173C"/>
        </w:rPr>
        <w:t xml:space="preserve"> ναύλ</w:t>
      </w:r>
      <w:r w:rsidR="00660151">
        <w:rPr>
          <w:color w:val="00173C"/>
        </w:rPr>
        <w:t>ων.</w:t>
      </w:r>
    </w:p>
    <w:p w14:paraId="5142E301" w14:textId="77777777" w:rsidR="00D34292" w:rsidRDefault="00D34292" w:rsidP="004917E1">
      <w:pPr>
        <w:pStyle w:val="BodyText"/>
        <w:ind w:left="0" w:right="-79"/>
        <w:jc w:val="both"/>
      </w:pPr>
      <w:r>
        <w:rPr>
          <w:color w:val="00173C"/>
        </w:rPr>
        <w:t>Ο συνολικός κύκλος εργασιών για την Ελλάδα και τη Δυτική Ευρώπη κατά το πρώτο εξάμη</w:t>
      </w:r>
      <w:r w:rsidR="00443EF9">
        <w:rPr>
          <w:color w:val="00173C"/>
        </w:rPr>
        <w:t>νο του 2021 αυξήθηκε κατά 17,4% και ανήλθε σε €133,5</w:t>
      </w:r>
      <w:r>
        <w:rPr>
          <w:color w:val="00173C"/>
        </w:rPr>
        <w:t xml:space="preserve"> εκ., ενώ τα λειτουργικά κέρ</w:t>
      </w:r>
      <w:r w:rsidR="00443EF9">
        <w:rPr>
          <w:color w:val="00173C"/>
        </w:rPr>
        <w:t>δη (EBITDA) διαμορφώθηκαν στα €17</w:t>
      </w:r>
      <w:r>
        <w:rPr>
          <w:color w:val="00173C"/>
        </w:rPr>
        <w:t xml:space="preserve"> εκ. έναντι €</w:t>
      </w:r>
      <w:r w:rsidR="00443EF9">
        <w:rPr>
          <w:color w:val="00173C"/>
        </w:rPr>
        <w:t>8,2</w:t>
      </w:r>
      <w:r>
        <w:rPr>
          <w:color w:val="00173C"/>
        </w:rPr>
        <w:t xml:space="preserve"> εκ. το πρώτο εξάμηνο του 2020.</w:t>
      </w:r>
    </w:p>
    <w:p w14:paraId="5142E302" w14:textId="77777777" w:rsidR="00F575A4" w:rsidRPr="00CC5865" w:rsidRDefault="00F575A4" w:rsidP="00F575A4">
      <w:pPr>
        <w:jc w:val="both"/>
        <w:rPr>
          <w:rFonts w:ascii="Calibri" w:eastAsia="Calibri" w:hAnsi="Calibri" w:cs="Calibri"/>
          <w:b/>
          <w:bCs/>
          <w:color w:val="01B1D7"/>
          <w:sz w:val="28"/>
          <w:szCs w:val="28"/>
          <w:lang w:val="el-GR"/>
        </w:rPr>
      </w:pPr>
      <w:r>
        <w:rPr>
          <w:rFonts w:ascii="Calibri" w:eastAsia="Calibri" w:hAnsi="Calibri" w:cs="Calibri"/>
          <w:b/>
          <w:bCs/>
          <w:color w:val="01B1D7"/>
          <w:sz w:val="28"/>
          <w:szCs w:val="28"/>
          <w:lang w:val="el-GR"/>
        </w:rPr>
        <w:lastRenderedPageBreak/>
        <w:t>Νοτιοανατολική Ευρώπη</w:t>
      </w:r>
    </w:p>
    <w:p w14:paraId="5142E303" w14:textId="77777777" w:rsidR="00F575A4" w:rsidRPr="00CC5865" w:rsidRDefault="00F575A4" w:rsidP="00F575A4">
      <w:pPr>
        <w:jc w:val="both"/>
        <w:rPr>
          <w:rFonts w:ascii="Calibri" w:eastAsia="Calibri" w:hAnsi="Calibri" w:cs="Calibri"/>
          <w:b/>
          <w:bCs/>
          <w:color w:val="01B1D7"/>
          <w:sz w:val="28"/>
          <w:szCs w:val="28"/>
          <w:lang w:val="el-GR"/>
        </w:rPr>
      </w:pPr>
      <w:r w:rsidRPr="00FF076E">
        <w:rPr>
          <w:rFonts w:ascii="Calibri" w:hAnsi="Calibri" w:cs="Calibri"/>
          <w:noProof/>
          <w:color w:val="335B74" w:themeColor="text2"/>
          <w:sz w:val="28"/>
        </w:rPr>
        <mc:AlternateContent>
          <mc:Choice Requires="wps">
            <w:drawing>
              <wp:anchor distT="0" distB="0" distL="114300" distR="114300" simplePos="0" relativeHeight="251658245" behindDoc="0" locked="0" layoutInCell="1" allowOverlap="1" wp14:anchorId="5142E63A" wp14:editId="5142E63B">
                <wp:simplePos x="0" y="0"/>
                <wp:positionH relativeFrom="margin">
                  <wp:posOffset>171450</wp:posOffset>
                </wp:positionH>
                <wp:positionV relativeFrom="paragraph">
                  <wp:posOffset>207010</wp:posOffset>
                </wp:positionV>
                <wp:extent cx="1189990" cy="393192"/>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192"/>
                        </a:xfrm>
                        <a:prstGeom prst="rect">
                          <a:avLst/>
                        </a:prstGeom>
                      </wps:spPr>
                      <wps:txbx>
                        <w:txbxContent>
                          <w:p w14:paraId="5142E67E" w14:textId="77777777" w:rsidR="005B3A1B" w:rsidRPr="00BA71F7" w:rsidRDefault="005B3A1B" w:rsidP="00F575A4">
                            <w:pPr>
                              <w:spacing w:line="216" w:lineRule="auto"/>
                              <w:jc w:val="center"/>
                              <w:rPr>
                                <w:rFonts w:ascii="Calibri Light" w:hAnsi="Calibri Light" w:cs="Calibri Light"/>
                                <w:b/>
                                <w:color w:val="00183D"/>
                                <w:sz w:val="20"/>
                                <w:szCs w:val="18"/>
                                <w:lang w:val="en-CA"/>
                              </w:rPr>
                            </w:pPr>
                            <w:r>
                              <w:rPr>
                                <w:rFonts w:ascii="Calibri Light" w:hAnsi="Calibri Light" w:cs="Calibri Light"/>
                                <w:b/>
                                <w:color w:val="00183D"/>
                                <w:sz w:val="20"/>
                                <w:szCs w:val="18"/>
                                <w:lang w:val="el-GR"/>
                              </w:rPr>
                              <w:t>Κύκλος Εργασιών</w:t>
                            </w:r>
                          </w:p>
                          <w:p w14:paraId="5142E67F"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3A" id="Rectangle 58" o:spid="_x0000_s1031" style="position:absolute;left:0;text-align:left;margin-left:13.5pt;margin-top:16.3pt;width:93.7pt;height:30.9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" filled="f" stroked="f">
                <v:textbox>
                  <w:txbxContent>
                    <w:p w14:paraId="5142E67E" w14:textId="77777777" w:rsidR="005B3A1B" w:rsidRPr="00BA71F7" w:rsidRDefault="005B3A1B" w:rsidP="00F575A4">
                      <w:pPr>
                        <w:spacing w:line="216" w:lineRule="auto"/>
                        <w:jc w:val="center"/>
                        <w:rPr>
                          <w:rFonts w:ascii="Calibri Light" w:hAnsi="Calibri Light" w:cs="Calibri Light"/>
                          <w:b/>
                          <w:color w:val="00183D"/>
                          <w:sz w:val="20"/>
                          <w:szCs w:val="18"/>
                          <w:lang w:val="en-CA"/>
                        </w:rPr>
                      </w:pPr>
                      <w:r>
                        <w:rPr>
                          <w:rFonts w:ascii="Calibri Light" w:hAnsi="Calibri Light" w:cs="Calibri Light"/>
                          <w:b/>
                          <w:color w:val="00183D"/>
                          <w:sz w:val="20"/>
                          <w:szCs w:val="18"/>
                          <w:lang w:val="el-GR"/>
                        </w:rPr>
                        <w:t>Κύκλος Εργασιών</w:t>
                      </w:r>
                    </w:p>
                    <w:p w14:paraId="5142E67F" w14:textId="77777777" w:rsidR="005B3A1B" w:rsidRPr="00621C7D" w:rsidRDefault="005B3A1B" w:rsidP="00F575A4">
                      <w:pPr>
                        <w:pStyle w:val="NormalWeb"/>
                        <w:spacing w:before="12" w:beforeAutospacing="0" w:after="0" w:afterAutospacing="0" w:line="216" w:lineRule="auto"/>
                        <w:jc w:val="center"/>
                        <w:rPr>
                          <w:color w:val="00183D"/>
                        </w:rPr>
                      </w:pPr>
                    </w:p>
                  </w:txbxContent>
                </v:textbox>
                <w10:wrap anchorx="margin"/>
              </v:rect>
            </w:pict>
          </mc:Fallback>
        </mc:AlternateContent>
      </w:r>
    </w:p>
    <w:p w14:paraId="5142E304" w14:textId="77777777" w:rsidR="00F575A4" w:rsidRPr="00CC5865" w:rsidRDefault="00B9646B" w:rsidP="00F575A4">
      <w:pPr>
        <w:jc w:val="both"/>
        <w:rPr>
          <w:rFonts w:ascii="Calibri" w:eastAsia="Calibri" w:hAnsi="Calibri" w:cs="Calibri"/>
          <w:b/>
          <w:bCs/>
          <w:color w:val="01B1D7"/>
          <w:sz w:val="28"/>
          <w:szCs w:val="28"/>
          <w:lang w:val="el-GR"/>
        </w:rPr>
      </w:pPr>
      <w:r w:rsidRPr="00FF076E">
        <w:rPr>
          <w:rFonts w:ascii="Calibri" w:hAnsi="Calibri" w:cs="Calibri"/>
          <w:noProof/>
          <w:color w:val="335B74" w:themeColor="text2"/>
          <w:sz w:val="28"/>
        </w:rPr>
        <mc:AlternateContent>
          <mc:Choice Requires="wps">
            <w:drawing>
              <wp:anchor distT="0" distB="0" distL="114300" distR="114300" simplePos="0" relativeHeight="251658248" behindDoc="0" locked="0" layoutInCell="1" allowOverlap="1" wp14:anchorId="5142E63C" wp14:editId="5142E63D">
                <wp:simplePos x="0" y="0"/>
                <wp:positionH relativeFrom="column">
                  <wp:posOffset>1600581</wp:posOffset>
                </wp:positionH>
                <wp:positionV relativeFrom="paragraph">
                  <wp:posOffset>27661</wp:posOffset>
                </wp:positionV>
                <wp:extent cx="1189990" cy="328803"/>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28803"/>
                        </a:xfrm>
                        <a:prstGeom prst="rect">
                          <a:avLst/>
                        </a:prstGeom>
                      </wps:spPr>
                      <wps:txbx>
                        <w:txbxContent>
                          <w:p w14:paraId="5142E680" w14:textId="77777777" w:rsidR="005B3A1B" w:rsidRPr="006562D5" w:rsidRDefault="005B3A1B" w:rsidP="00F575A4">
                            <w:pPr>
                              <w:spacing w:line="216" w:lineRule="auto"/>
                              <w:jc w:val="center"/>
                              <w:rPr>
                                <w:rFonts w:ascii="Calibri" w:hAnsi="Calibri"/>
                                <w:b/>
                                <w:bCs/>
                                <w:color w:val="00183D"/>
                                <w:sz w:val="18"/>
                                <w:szCs w:val="18"/>
                                <w:lang w:val="el-GR"/>
                              </w:rPr>
                            </w:pPr>
                            <w:r>
                              <w:rPr>
                                <w:rFonts w:ascii="Calibri" w:hAnsi="Calibri"/>
                                <w:b/>
                                <w:bCs/>
                                <w:color w:val="00183D"/>
                                <w:sz w:val="18"/>
                                <w:szCs w:val="18"/>
                                <w:lang w:val="el-GR"/>
                              </w:rPr>
                              <w:t>Λειτουργικά Κέρδη (</w:t>
                            </w:r>
                            <w:r w:rsidRPr="00621C7D">
                              <w:rPr>
                                <w:rFonts w:ascii="Calibri" w:hAnsi="Calibri"/>
                                <w:b/>
                                <w:bCs/>
                                <w:color w:val="00183D"/>
                                <w:sz w:val="18"/>
                                <w:szCs w:val="18"/>
                                <w:lang w:val="en-CA"/>
                              </w:rPr>
                              <w:t>EBITDA</w:t>
                            </w:r>
                            <w:r>
                              <w:rPr>
                                <w:rFonts w:ascii="Calibri" w:hAnsi="Calibri"/>
                                <w:b/>
                                <w:bCs/>
                                <w:color w:val="00183D"/>
                                <w:sz w:val="18"/>
                                <w:szCs w:val="18"/>
                                <w:lang w:val="el-GR"/>
                              </w:rPr>
                              <w:t>)</w:t>
                            </w:r>
                          </w:p>
                          <w:p w14:paraId="5142E681"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82"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3C" id="Rectangle 59" o:spid="_x0000_s1032" style="position:absolute;left:0;text-align:left;margin-left:126.05pt;margin-top:2.2pt;width:93.7pt;height:25.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" filled="f" stroked="f">
                <v:textbox>
                  <w:txbxContent>
                    <w:p w14:paraId="5142E680" w14:textId="77777777" w:rsidR="005B3A1B" w:rsidRPr="006562D5" w:rsidRDefault="005B3A1B" w:rsidP="00F575A4">
                      <w:pPr>
                        <w:spacing w:line="216" w:lineRule="auto"/>
                        <w:jc w:val="center"/>
                        <w:rPr>
                          <w:rFonts w:ascii="Calibri" w:hAnsi="Calibri"/>
                          <w:b/>
                          <w:bCs/>
                          <w:color w:val="00183D"/>
                          <w:sz w:val="18"/>
                          <w:szCs w:val="18"/>
                          <w:lang w:val="el-GR"/>
                        </w:rPr>
                      </w:pPr>
                      <w:r>
                        <w:rPr>
                          <w:rFonts w:ascii="Calibri" w:hAnsi="Calibri"/>
                          <w:b/>
                          <w:bCs/>
                          <w:color w:val="00183D"/>
                          <w:sz w:val="18"/>
                          <w:szCs w:val="18"/>
                          <w:lang w:val="el-GR"/>
                        </w:rPr>
                        <w:t>Λειτουργικά Κέρδη (</w:t>
                      </w:r>
                      <w:r w:rsidRPr="00621C7D">
                        <w:rPr>
                          <w:rFonts w:ascii="Calibri" w:hAnsi="Calibri"/>
                          <w:b/>
                          <w:bCs/>
                          <w:color w:val="00183D"/>
                          <w:sz w:val="18"/>
                          <w:szCs w:val="18"/>
                          <w:lang w:val="en-CA"/>
                        </w:rPr>
                        <w:t>EBITDA</w:t>
                      </w:r>
                      <w:r>
                        <w:rPr>
                          <w:rFonts w:ascii="Calibri" w:hAnsi="Calibri"/>
                          <w:b/>
                          <w:bCs/>
                          <w:color w:val="00183D"/>
                          <w:sz w:val="18"/>
                          <w:szCs w:val="18"/>
                          <w:lang w:val="el-GR"/>
                        </w:rPr>
                        <w:t>)</w:t>
                      </w:r>
                    </w:p>
                    <w:p w14:paraId="5142E681"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82"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p>
    <w:p w14:paraId="5142E305" w14:textId="77777777" w:rsidR="00F575A4" w:rsidRPr="00CC5865" w:rsidRDefault="00B9646B" w:rsidP="00F575A4">
      <w:pPr>
        <w:jc w:val="both"/>
        <w:rPr>
          <w:rFonts w:ascii="Calibri" w:eastAsia="Calibri" w:hAnsi="Calibri" w:cs="Calibri"/>
          <w:b/>
          <w:bCs/>
          <w:color w:val="01B1D7"/>
          <w:sz w:val="28"/>
          <w:szCs w:val="28"/>
          <w:lang w:val="el-GR"/>
        </w:rPr>
      </w:pPr>
      <w:r w:rsidRPr="00526F2D">
        <w:rPr>
          <w:noProof/>
          <w:sz w:val="22"/>
        </w:rPr>
        <w:drawing>
          <wp:inline distT="0" distB="0" distL="0" distR="0" wp14:anchorId="5142E63E" wp14:editId="5142E63F">
            <wp:extent cx="1439839" cy="1262418"/>
            <wp:effectExtent l="0" t="0" r="8255" b="0"/>
            <wp:docPr id="8" name="Chart 8">
              <a:extLst xmlns:a="http://schemas.openxmlformats.org/drawingml/2006/main">
                <a:ext uri="{FF2B5EF4-FFF2-40B4-BE49-F238E27FC236}">
                  <a16:creationId xmlns:a16="http://schemas.microsoft.com/office/drawing/2014/main" id="{0D1FBFB9-17B5-4DD0-B41E-A72DCFF86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5142E640" wp14:editId="5142E641">
            <wp:extent cx="1317009" cy="1214651"/>
            <wp:effectExtent l="0" t="0" r="0" b="5080"/>
            <wp:docPr id="38" name="Chart 38">
              <a:extLst xmlns:a="http://schemas.openxmlformats.org/drawingml/2006/main">
                <a:ext uri="{FF2B5EF4-FFF2-40B4-BE49-F238E27FC236}">
                  <a16:creationId xmlns:a16="http://schemas.microsoft.com/office/drawing/2014/main" id="{B6CE5DBF-6364-4350-8C91-8BE4AF0A9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42E306" w14:textId="77777777" w:rsidR="00F575A4" w:rsidRPr="00CC5865" w:rsidRDefault="00F575A4" w:rsidP="00F575A4">
      <w:pPr>
        <w:jc w:val="both"/>
        <w:rPr>
          <w:rFonts w:ascii="Calibri" w:eastAsia="Calibri" w:hAnsi="Calibri" w:cs="Calibri"/>
          <w:b/>
          <w:bCs/>
          <w:color w:val="01B1D7"/>
          <w:sz w:val="21"/>
          <w:szCs w:val="21"/>
          <w:lang w:val="el-GR"/>
        </w:rPr>
      </w:pPr>
    </w:p>
    <w:p w14:paraId="5142E307" w14:textId="77777777" w:rsidR="00B9646B" w:rsidRDefault="00B9646B" w:rsidP="00B9646B">
      <w:pPr>
        <w:pStyle w:val="BodyText"/>
        <w:spacing w:before="58"/>
        <w:ind w:right="114"/>
        <w:jc w:val="both"/>
      </w:pPr>
      <w:r>
        <w:rPr>
          <w:color w:val="00173C"/>
        </w:rPr>
        <w:t xml:space="preserve">Οι επιδόσεις στη Νοτιοανατολική Ευρώπη διατηρήθηκαν σε </w:t>
      </w:r>
      <w:r w:rsidR="008929CA">
        <w:rPr>
          <w:color w:val="00173C"/>
        </w:rPr>
        <w:t>υψηλά</w:t>
      </w:r>
      <w:r>
        <w:rPr>
          <w:color w:val="00173C"/>
        </w:rPr>
        <w:t xml:space="preserve"> επίπεδα </w:t>
      </w:r>
      <w:r w:rsidR="00DE11B4">
        <w:rPr>
          <w:color w:val="00173C"/>
        </w:rPr>
        <w:t>με τις</w:t>
      </w:r>
      <w:r>
        <w:rPr>
          <w:color w:val="00173C"/>
        </w:rPr>
        <w:t xml:space="preserve"> πωλήσεις </w:t>
      </w:r>
      <w:r w:rsidR="00DE11B4">
        <w:rPr>
          <w:color w:val="00173C"/>
        </w:rPr>
        <w:t>να καταγράφουν</w:t>
      </w:r>
      <w:r>
        <w:rPr>
          <w:color w:val="00173C"/>
        </w:rPr>
        <w:t xml:space="preserve"> σημαντική αύξηση</w:t>
      </w:r>
      <w:r w:rsidR="00982179" w:rsidRPr="00982179">
        <w:rPr>
          <w:color w:val="00173C"/>
        </w:rPr>
        <w:t xml:space="preserve"> </w:t>
      </w:r>
      <w:r w:rsidR="00982179">
        <w:rPr>
          <w:color w:val="00173C"/>
        </w:rPr>
        <w:t>σε όλες τις αγορές της περιοχής</w:t>
      </w:r>
      <w:r>
        <w:rPr>
          <w:color w:val="00173C"/>
        </w:rPr>
        <w:t xml:space="preserve">. Αν και οι </w:t>
      </w:r>
      <w:r w:rsidR="00DE11B4">
        <w:rPr>
          <w:color w:val="00173C"/>
        </w:rPr>
        <w:t>υψηλότερες</w:t>
      </w:r>
      <w:r>
        <w:rPr>
          <w:color w:val="00173C"/>
        </w:rPr>
        <w:t xml:space="preserve"> τιμές ενέργειας, ιδιαίτερα της ηλεκτρικής ενέργειας, </w:t>
      </w:r>
      <w:r w:rsidR="00C40A40">
        <w:rPr>
          <w:color w:val="00173C"/>
        </w:rPr>
        <w:t>επηρέασαν</w:t>
      </w:r>
      <w:r>
        <w:rPr>
          <w:color w:val="00173C"/>
        </w:rPr>
        <w:t xml:space="preserve"> τα περιθώρια κέρδους, οι συνολικές επιδόσεις διατηρήθηκαν σε υψηλά επίπεδα χάρη στη μεγαλύτερη αξιοποίηση </w:t>
      </w:r>
      <w:r w:rsidR="00DE11B4">
        <w:rPr>
          <w:color w:val="00173C"/>
        </w:rPr>
        <w:t xml:space="preserve">του παραγωγικού δυναμικού </w:t>
      </w:r>
      <w:r>
        <w:rPr>
          <w:color w:val="00173C"/>
        </w:rPr>
        <w:t>των εργοστασίων. Η κατασκευαστική δραστηριότητα</w:t>
      </w:r>
      <w:r w:rsidR="00362D64">
        <w:rPr>
          <w:color w:val="00173C"/>
        </w:rPr>
        <w:t xml:space="preserve"> </w:t>
      </w:r>
      <w:r>
        <w:rPr>
          <w:color w:val="00173C"/>
        </w:rPr>
        <w:t>τόσο για κατοικίες όσο και για εμπορικά ακίνητα</w:t>
      </w:r>
      <w:r w:rsidR="00362D64">
        <w:rPr>
          <w:color w:val="00173C"/>
        </w:rPr>
        <w:t>, που αποτελούν τις κύριες πηγές ζήτησης</w:t>
      </w:r>
      <w:r w:rsidR="00660151">
        <w:rPr>
          <w:color w:val="00173C"/>
        </w:rPr>
        <w:t>,</w:t>
      </w:r>
      <w:r>
        <w:rPr>
          <w:color w:val="00173C"/>
        </w:rPr>
        <w:t xml:space="preserve"> διατήρησ</w:t>
      </w:r>
      <w:r w:rsidR="00944E65">
        <w:rPr>
          <w:color w:val="00173C"/>
        </w:rPr>
        <w:t>αν</w:t>
      </w:r>
      <w:r>
        <w:rPr>
          <w:color w:val="00173C"/>
        </w:rPr>
        <w:t xml:space="preserve"> τη δυναμική τ</w:t>
      </w:r>
      <w:r w:rsidR="00944E65">
        <w:rPr>
          <w:color w:val="00173C"/>
        </w:rPr>
        <w:t>ους</w:t>
      </w:r>
      <w:r>
        <w:rPr>
          <w:color w:val="00173C"/>
        </w:rPr>
        <w:t xml:space="preserve"> στις χώρες στις οποίες δραστηριοποιείται ο Όμιλος. </w:t>
      </w:r>
    </w:p>
    <w:p w14:paraId="5142E308" w14:textId="64990672" w:rsidR="00B9646B" w:rsidRDefault="00B9646B" w:rsidP="00B9646B">
      <w:pPr>
        <w:pStyle w:val="BodyText"/>
        <w:ind w:right="114"/>
        <w:jc w:val="both"/>
      </w:pPr>
      <w:r>
        <w:rPr>
          <w:color w:val="00173C"/>
        </w:rPr>
        <w:t xml:space="preserve">Ο κύκλος εργασιών για την </w:t>
      </w:r>
      <w:r w:rsidR="00EA19F6">
        <w:rPr>
          <w:color w:val="00173C"/>
        </w:rPr>
        <w:t>Νοτιοανατολική</w:t>
      </w:r>
      <w:r>
        <w:rPr>
          <w:color w:val="00173C"/>
        </w:rPr>
        <w:t xml:space="preserve"> Ευρώπη συνολικά αυξήθηκε </w:t>
      </w:r>
      <w:r w:rsidR="00982179">
        <w:rPr>
          <w:color w:val="00173C"/>
        </w:rPr>
        <w:t>κατά</w:t>
      </w:r>
      <w:r w:rsidR="008929CA">
        <w:rPr>
          <w:color w:val="00173C"/>
        </w:rPr>
        <w:t xml:space="preserve"> 14,1% </w:t>
      </w:r>
      <w:r w:rsidR="00982179">
        <w:rPr>
          <w:color w:val="00173C"/>
        </w:rPr>
        <w:t>και ανήλθε σε</w:t>
      </w:r>
      <w:r w:rsidR="008929CA">
        <w:rPr>
          <w:color w:val="00173C"/>
        </w:rPr>
        <w:t xml:space="preserve"> €132,3</w:t>
      </w:r>
      <w:r>
        <w:rPr>
          <w:color w:val="00173C"/>
        </w:rPr>
        <w:t xml:space="preserve"> εκ., ενώ τα λειτουργικά κέρδη (EBITDA) αυξήθηκαν κατά </w:t>
      </w:r>
      <w:r w:rsidR="008929CA">
        <w:rPr>
          <w:color w:val="00173C"/>
        </w:rPr>
        <w:t>7,5% στα €42</w:t>
      </w:r>
      <w:r>
        <w:rPr>
          <w:color w:val="00173C"/>
        </w:rPr>
        <w:t xml:space="preserve"> εκ. κατά το πρώτο εξάμηνο του 2021.</w:t>
      </w:r>
    </w:p>
    <w:p w14:paraId="5142E309" w14:textId="77777777" w:rsidR="00B9646B" w:rsidRPr="00B9646B" w:rsidRDefault="00B9646B" w:rsidP="00B9646B">
      <w:pPr>
        <w:spacing w:before="5" w:line="110" w:lineRule="exact"/>
        <w:rPr>
          <w:sz w:val="11"/>
          <w:szCs w:val="11"/>
          <w:lang w:val="el-GR"/>
        </w:rPr>
      </w:pPr>
    </w:p>
    <w:p w14:paraId="5142E30A" w14:textId="77777777" w:rsidR="00B9646B" w:rsidRPr="006562D5" w:rsidRDefault="00B9646B" w:rsidP="00B9646B">
      <w:pPr>
        <w:jc w:val="both"/>
        <w:rPr>
          <w:rFonts w:ascii="Calibri Light" w:hAnsi="Calibri Light" w:cs="Calibri"/>
          <w:sz w:val="21"/>
          <w:szCs w:val="21"/>
          <w:lang w:val="el-GR"/>
        </w:rPr>
      </w:pPr>
    </w:p>
    <w:p w14:paraId="5142E30B" w14:textId="77777777" w:rsidR="00F575A4" w:rsidRDefault="00F575A4" w:rsidP="00F575A4">
      <w:pPr>
        <w:jc w:val="both"/>
        <w:rPr>
          <w:rFonts w:ascii="Calibri" w:eastAsia="Calibri" w:hAnsi="Calibri" w:cs="Calibri"/>
          <w:b/>
          <w:bCs/>
          <w:color w:val="01B1D7"/>
          <w:sz w:val="28"/>
          <w:szCs w:val="28"/>
        </w:rPr>
      </w:pPr>
      <w:r>
        <w:rPr>
          <w:rFonts w:ascii="Calibri" w:eastAsia="Calibri" w:hAnsi="Calibri" w:cs="Calibri"/>
          <w:b/>
          <w:bCs/>
          <w:color w:val="01B1D7"/>
          <w:sz w:val="28"/>
          <w:szCs w:val="28"/>
          <w:lang w:val="el-GR"/>
        </w:rPr>
        <w:t>Ανατολική Μεσόγειος</w:t>
      </w:r>
    </w:p>
    <w:p w14:paraId="5142E30C" w14:textId="77777777" w:rsidR="00F575A4" w:rsidRPr="00FF076E" w:rsidRDefault="00F575A4" w:rsidP="00F575A4">
      <w:pPr>
        <w:jc w:val="both"/>
        <w:rPr>
          <w:rFonts w:ascii="Calibri" w:eastAsia="Calibri" w:hAnsi="Calibri" w:cs="Calibri"/>
          <w:b/>
          <w:bCs/>
          <w:color w:val="01B1D7"/>
          <w:sz w:val="28"/>
          <w:szCs w:val="28"/>
        </w:rPr>
      </w:pPr>
      <w:r w:rsidRPr="00FF076E">
        <w:rPr>
          <w:rFonts w:cs="Calibri"/>
          <w:noProof/>
          <w:color w:val="335B74" w:themeColor="text2"/>
        </w:rPr>
        <mc:AlternateContent>
          <mc:Choice Requires="wps">
            <w:drawing>
              <wp:anchor distT="0" distB="0" distL="114300" distR="114300" simplePos="0" relativeHeight="251658252" behindDoc="0" locked="0" layoutInCell="1" allowOverlap="1" wp14:anchorId="5142E642" wp14:editId="5142E643">
                <wp:simplePos x="0" y="0"/>
                <wp:positionH relativeFrom="column">
                  <wp:posOffset>1684655</wp:posOffset>
                </wp:positionH>
                <wp:positionV relativeFrom="paragraph">
                  <wp:posOffset>29845</wp:posOffset>
                </wp:positionV>
                <wp:extent cx="1189990" cy="310896"/>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10896"/>
                        </a:xfrm>
                        <a:prstGeom prst="rect">
                          <a:avLst/>
                        </a:prstGeom>
                      </wps:spPr>
                      <wps:txbx>
                        <w:txbxContent>
                          <w:p w14:paraId="5142E683" w14:textId="77777777" w:rsidR="005B3A1B" w:rsidRPr="00D7577D" w:rsidRDefault="005B3A1B" w:rsidP="00F575A4">
                            <w:pPr>
                              <w:spacing w:line="216" w:lineRule="auto"/>
                              <w:jc w:val="center"/>
                              <w:rPr>
                                <w:rFonts w:ascii="Calibri" w:hAnsi="Calibri"/>
                                <w:b/>
                                <w:bCs/>
                                <w:color w:val="00183D"/>
                                <w:sz w:val="18"/>
                                <w:szCs w:val="18"/>
                                <w:lang w:val="el-GR"/>
                              </w:rPr>
                            </w:pPr>
                            <w:r>
                              <w:rPr>
                                <w:rFonts w:ascii="Calibri" w:hAnsi="Calibri"/>
                                <w:b/>
                                <w:bCs/>
                                <w:color w:val="00183D"/>
                                <w:sz w:val="18"/>
                                <w:szCs w:val="18"/>
                                <w:lang w:val="el-GR"/>
                              </w:rPr>
                              <w:t>Λειτουργικά Κέρδη (</w:t>
                            </w:r>
                            <w:r w:rsidRPr="00621C7D">
                              <w:rPr>
                                <w:rFonts w:ascii="Calibri" w:hAnsi="Calibri"/>
                                <w:b/>
                                <w:bCs/>
                                <w:color w:val="00183D"/>
                                <w:sz w:val="18"/>
                                <w:szCs w:val="18"/>
                                <w:lang w:val="en-CA"/>
                              </w:rPr>
                              <w:t>EBITDA</w:t>
                            </w:r>
                            <w:r>
                              <w:rPr>
                                <w:rFonts w:ascii="Calibri" w:hAnsi="Calibri"/>
                                <w:b/>
                                <w:bCs/>
                                <w:color w:val="00183D"/>
                                <w:sz w:val="18"/>
                                <w:szCs w:val="18"/>
                                <w:lang w:val="el-GR"/>
                              </w:rPr>
                              <w:t>)</w:t>
                            </w:r>
                          </w:p>
                          <w:p w14:paraId="5142E684"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85"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42" id="Rectangle 66" o:spid="_x0000_s1033" style="position:absolute;left:0;text-align:left;margin-left:132.65pt;margin-top:2.35pt;width:93.7pt;height:2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" filled="f" stroked="f">
                <v:textbox>
                  <w:txbxContent>
                    <w:p w14:paraId="5142E683" w14:textId="77777777" w:rsidR="005B3A1B" w:rsidRPr="00D7577D" w:rsidRDefault="005B3A1B" w:rsidP="00F575A4">
                      <w:pPr>
                        <w:spacing w:line="216" w:lineRule="auto"/>
                        <w:jc w:val="center"/>
                        <w:rPr>
                          <w:rFonts w:ascii="Calibri" w:hAnsi="Calibri"/>
                          <w:b/>
                          <w:bCs/>
                          <w:color w:val="00183D"/>
                          <w:sz w:val="18"/>
                          <w:szCs w:val="18"/>
                          <w:lang w:val="el-GR"/>
                        </w:rPr>
                      </w:pPr>
                      <w:r>
                        <w:rPr>
                          <w:rFonts w:ascii="Calibri" w:hAnsi="Calibri"/>
                          <w:b/>
                          <w:bCs/>
                          <w:color w:val="00183D"/>
                          <w:sz w:val="18"/>
                          <w:szCs w:val="18"/>
                          <w:lang w:val="el-GR"/>
                        </w:rPr>
                        <w:t>Λειτουργικά Κέρδη (</w:t>
                      </w:r>
                      <w:r w:rsidRPr="00621C7D">
                        <w:rPr>
                          <w:rFonts w:ascii="Calibri" w:hAnsi="Calibri"/>
                          <w:b/>
                          <w:bCs/>
                          <w:color w:val="00183D"/>
                          <w:sz w:val="18"/>
                          <w:szCs w:val="18"/>
                          <w:lang w:val="en-CA"/>
                        </w:rPr>
                        <w:t>EBITDA</w:t>
                      </w:r>
                      <w:r>
                        <w:rPr>
                          <w:rFonts w:ascii="Calibri" w:hAnsi="Calibri"/>
                          <w:b/>
                          <w:bCs/>
                          <w:color w:val="00183D"/>
                          <w:sz w:val="18"/>
                          <w:szCs w:val="18"/>
                          <w:lang w:val="el-GR"/>
                        </w:rPr>
                        <w:t>)</w:t>
                      </w:r>
                    </w:p>
                    <w:p w14:paraId="5142E684" w14:textId="77777777" w:rsidR="005B3A1B" w:rsidRPr="00621C7D" w:rsidRDefault="005B3A1B" w:rsidP="00F575A4">
                      <w:pPr>
                        <w:spacing w:line="216" w:lineRule="auto"/>
                        <w:jc w:val="center"/>
                        <w:rPr>
                          <w:rFonts w:ascii="Calibri Light" w:hAnsi="Calibri Light" w:cs="Calibri Light"/>
                          <w:color w:val="00183D"/>
                          <w:sz w:val="18"/>
                          <w:szCs w:val="18"/>
                          <w:lang w:val="en-CA"/>
                        </w:rPr>
                      </w:pPr>
                    </w:p>
                    <w:p w14:paraId="5142E685" w14:textId="77777777" w:rsidR="005B3A1B" w:rsidRPr="00621C7D" w:rsidRDefault="005B3A1B" w:rsidP="00F575A4">
                      <w:pPr>
                        <w:pStyle w:val="NormalWeb"/>
                        <w:spacing w:before="12" w:beforeAutospacing="0" w:after="0" w:afterAutospacing="0" w:line="216" w:lineRule="auto"/>
                        <w:jc w:val="center"/>
                        <w:rPr>
                          <w:color w:val="00183D"/>
                        </w:rPr>
                      </w:pPr>
                    </w:p>
                  </w:txbxContent>
                </v:textbox>
              </v:rect>
            </w:pict>
          </mc:Fallback>
        </mc:AlternateContent>
      </w:r>
      <w:r w:rsidRPr="00FF076E">
        <w:rPr>
          <w:rFonts w:cs="Calibri"/>
          <w:noProof/>
          <w:color w:val="335B74" w:themeColor="text2"/>
        </w:rPr>
        <mc:AlternateContent>
          <mc:Choice Requires="wps">
            <w:drawing>
              <wp:anchor distT="0" distB="0" distL="114300" distR="114300" simplePos="0" relativeHeight="251658251" behindDoc="0" locked="0" layoutInCell="1" allowOverlap="1" wp14:anchorId="5142E644" wp14:editId="5142E645">
                <wp:simplePos x="0" y="0"/>
                <wp:positionH relativeFrom="margin">
                  <wp:posOffset>248285</wp:posOffset>
                </wp:positionH>
                <wp:positionV relativeFrom="paragraph">
                  <wp:posOffset>32385</wp:posOffset>
                </wp:positionV>
                <wp:extent cx="1189990" cy="393192"/>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393192"/>
                        </a:xfrm>
                        <a:prstGeom prst="rect">
                          <a:avLst/>
                        </a:prstGeom>
                      </wps:spPr>
                      <wps:txbx>
                        <w:txbxContent>
                          <w:p w14:paraId="5142E686"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87" w14:textId="77777777" w:rsidR="005B3A1B" w:rsidRPr="00621C7D" w:rsidRDefault="005B3A1B" w:rsidP="00F575A4">
                            <w:pPr>
                              <w:pStyle w:val="NormalWeb"/>
                              <w:spacing w:before="12" w:beforeAutospacing="0" w:after="0" w:afterAutospacing="0" w:line="216" w:lineRule="auto"/>
                              <w:jc w:val="center"/>
                              <w:rPr>
                                <w:color w:val="00183D"/>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
            <w:pict>
              <v:rect w14:anchorId="5142E644" id="Rectangle 65" o:spid="_x0000_s1034" style="position:absolute;left:0;text-align:left;margin-left:19.55pt;margin-top:2.55pt;width:93.7pt;height:30.9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" filled="f" stroked="f">
                <v:textbox>
                  <w:txbxContent>
                    <w:p w14:paraId="5142E686" w14:textId="77777777" w:rsidR="005B3A1B" w:rsidRPr="008F0A16" w:rsidRDefault="005B3A1B" w:rsidP="00F575A4">
                      <w:pPr>
                        <w:spacing w:line="216" w:lineRule="auto"/>
                        <w:jc w:val="center"/>
                        <w:rPr>
                          <w:rFonts w:ascii="Calibri" w:hAnsi="Calibri"/>
                          <w:b/>
                          <w:bCs/>
                          <w:color w:val="00183D"/>
                          <w:sz w:val="20"/>
                          <w:szCs w:val="18"/>
                          <w:lang w:val="en-CA"/>
                        </w:rPr>
                      </w:pPr>
                      <w:r>
                        <w:rPr>
                          <w:rFonts w:ascii="Calibri" w:hAnsi="Calibri"/>
                          <w:b/>
                          <w:bCs/>
                          <w:color w:val="00183D"/>
                          <w:sz w:val="20"/>
                          <w:szCs w:val="18"/>
                          <w:lang w:val="el-GR"/>
                        </w:rPr>
                        <w:t>Κύκλος Εργασιών</w:t>
                      </w:r>
                    </w:p>
                    <w:p w14:paraId="5142E687" w14:textId="77777777" w:rsidR="005B3A1B" w:rsidRPr="00621C7D" w:rsidRDefault="005B3A1B" w:rsidP="00F575A4">
                      <w:pPr>
                        <w:pStyle w:val="NormalWeb"/>
                        <w:spacing w:before="12" w:beforeAutospacing="0" w:after="0" w:afterAutospacing="0" w:line="216" w:lineRule="auto"/>
                        <w:jc w:val="center"/>
                        <w:rPr>
                          <w:color w:val="00183D"/>
                        </w:rPr>
                      </w:pPr>
                    </w:p>
                  </w:txbxContent>
                </v:textbox>
                <w10:wrap anchorx="margin"/>
              </v:rect>
            </w:pict>
          </mc:Fallback>
        </mc:AlternateContent>
      </w:r>
    </w:p>
    <w:p w14:paraId="5142E30D" w14:textId="77777777" w:rsidR="00F575A4" w:rsidRDefault="00B9646B" w:rsidP="00F575A4">
      <w:pPr>
        <w:pStyle w:val="C"/>
        <w:spacing w:line="240" w:lineRule="auto"/>
        <w:jc w:val="both"/>
        <w:rPr>
          <w:rFonts w:eastAsia="Calibri" w:cs="Calibri"/>
          <w:noProof/>
          <w:lang w:val="en-US" w:eastAsia="el-GR"/>
        </w:rPr>
      </w:pPr>
      <w:r>
        <w:rPr>
          <w:noProof/>
          <w:lang w:val="en-US"/>
        </w:rPr>
        <w:drawing>
          <wp:inline distT="0" distB="0" distL="0" distR="0" wp14:anchorId="5142E646" wp14:editId="5142E647">
            <wp:extent cx="1517537" cy="1228299"/>
            <wp:effectExtent l="0" t="0" r="6985" b="0"/>
            <wp:docPr id="16" name="Chart 16">
              <a:extLst xmlns:a="http://schemas.openxmlformats.org/drawingml/2006/main">
                <a:ext uri="{FF2B5EF4-FFF2-40B4-BE49-F238E27FC236}">
                  <a16:creationId xmlns:a16="http://schemas.microsoft.com/office/drawing/2014/main" id="{3626F072-EC9A-49DF-BFD1-BD0FDBFC3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val="en-US"/>
        </w:rPr>
        <w:drawing>
          <wp:inline distT="0" distB="0" distL="0" distR="0" wp14:anchorId="5142E648" wp14:editId="5142E649">
            <wp:extent cx="1601522" cy="1247198"/>
            <wp:effectExtent l="0" t="0" r="0" b="0"/>
            <wp:docPr id="39" name="Chart 39">
              <a:extLst xmlns:a="http://schemas.openxmlformats.org/drawingml/2006/main">
                <a:ext uri="{FF2B5EF4-FFF2-40B4-BE49-F238E27FC236}">
                  <a16:creationId xmlns:a16="http://schemas.microsoft.com/office/drawing/2014/main" id="{33BD03C8-5BFC-4D56-85E7-FC8132020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142E30E" w14:textId="7DF2BD5D" w:rsidR="00B9646B" w:rsidRDefault="00B9646B" w:rsidP="00B9646B">
      <w:pPr>
        <w:pStyle w:val="BodyText"/>
        <w:spacing w:before="58"/>
        <w:ind w:left="0" w:right="117"/>
        <w:jc w:val="both"/>
      </w:pPr>
      <w:r>
        <w:rPr>
          <w:color w:val="00173C"/>
        </w:rPr>
        <w:t xml:space="preserve">Η κατανάλωση τσιμέντου στην Αίγυπτο παρέμεινε αμετάβλητη το πρώτο εξάμηνο του έτους. Ωστόσο, </w:t>
      </w:r>
      <w:r w:rsidR="002B48B0">
        <w:rPr>
          <w:color w:val="00173C"/>
        </w:rPr>
        <w:t xml:space="preserve">την </w:t>
      </w:r>
      <w:r>
        <w:rPr>
          <w:color w:val="00173C"/>
        </w:rPr>
        <w:t xml:space="preserve"> </w:t>
      </w:r>
      <w:r w:rsidR="004A371B">
        <w:rPr>
          <w:color w:val="00173C"/>
        </w:rPr>
        <w:t>περίοδο Μαρτίου και Απριλίου</w:t>
      </w:r>
      <w:r w:rsidR="002B48B0">
        <w:rPr>
          <w:color w:val="00173C"/>
        </w:rPr>
        <w:t>,</w:t>
      </w:r>
      <w:r>
        <w:rPr>
          <w:color w:val="00173C"/>
        </w:rPr>
        <w:t xml:space="preserve"> </w:t>
      </w:r>
      <w:r w:rsidR="004A371B">
        <w:rPr>
          <w:color w:val="00173C"/>
        </w:rPr>
        <w:t>πριν ξεκινήσει</w:t>
      </w:r>
      <w:r>
        <w:rPr>
          <w:color w:val="00173C"/>
        </w:rPr>
        <w:t xml:space="preserve"> το Ραμαζάνι</w:t>
      </w:r>
      <w:r w:rsidR="002B48B0">
        <w:rPr>
          <w:color w:val="00173C"/>
        </w:rPr>
        <w:t xml:space="preserve"> η αγορά </w:t>
      </w:r>
      <w:r w:rsidR="004A371B">
        <w:rPr>
          <w:color w:val="00173C"/>
        </w:rPr>
        <w:t>κατέγραψε ήπια αύξηση</w:t>
      </w:r>
      <w:r>
        <w:rPr>
          <w:color w:val="00173C"/>
        </w:rPr>
        <w:t xml:space="preserve">. </w:t>
      </w:r>
      <w:r w:rsidR="004A371B">
        <w:rPr>
          <w:color w:val="00173C"/>
        </w:rPr>
        <w:t>Ο</w:t>
      </w:r>
      <w:r>
        <w:rPr>
          <w:color w:val="00173C"/>
        </w:rPr>
        <w:t xml:space="preserve">ι ιδιωτικές κατασκευές κατοικιών και </w:t>
      </w:r>
      <w:r w:rsidR="004A371B">
        <w:rPr>
          <w:color w:val="00173C"/>
        </w:rPr>
        <w:t>τα έργα</w:t>
      </w:r>
      <w:r>
        <w:rPr>
          <w:color w:val="00173C"/>
        </w:rPr>
        <w:t xml:space="preserve"> ανάπτυξης των Νέων Πόλεων </w:t>
      </w:r>
      <w:r w:rsidR="004A371B">
        <w:rPr>
          <w:color w:val="00173C"/>
        </w:rPr>
        <w:t>συνέχισαν</w:t>
      </w:r>
      <w:r>
        <w:rPr>
          <w:color w:val="00173C"/>
        </w:rPr>
        <w:t xml:space="preserve"> να </w:t>
      </w:r>
      <w:r w:rsidR="004A371B">
        <w:rPr>
          <w:color w:val="00173C"/>
        </w:rPr>
        <w:t xml:space="preserve">στηρίζουν </w:t>
      </w:r>
      <w:r w:rsidR="002B48B0">
        <w:rPr>
          <w:color w:val="00173C"/>
        </w:rPr>
        <w:t>την ζήτηση</w:t>
      </w:r>
      <w:r>
        <w:rPr>
          <w:color w:val="00173C"/>
        </w:rPr>
        <w:t>. Από τις αρχές του έτους σημειώθηκε σημαντική βελτίωση των τιμών, οι οποίες</w:t>
      </w:r>
      <w:r w:rsidR="002B48B0">
        <w:rPr>
          <w:color w:val="00173C"/>
        </w:rPr>
        <w:t xml:space="preserve"> βρίσκονταν σε χαμηλά επίπεδα, ωστόσο </w:t>
      </w:r>
      <w:r>
        <w:rPr>
          <w:color w:val="00173C"/>
        </w:rPr>
        <w:t xml:space="preserve"> το αυξανόμενο κόστος των πρώτων υλών </w:t>
      </w:r>
      <w:r w:rsidR="00A57B20">
        <w:rPr>
          <w:color w:val="00173C"/>
        </w:rPr>
        <w:t>αντιστάθμισε</w:t>
      </w:r>
      <w:r>
        <w:rPr>
          <w:color w:val="00173C"/>
        </w:rPr>
        <w:t xml:space="preserve"> εν μέρει τη βελτίωση </w:t>
      </w:r>
      <w:r w:rsidR="00660151">
        <w:rPr>
          <w:color w:val="00173C"/>
        </w:rPr>
        <w:t xml:space="preserve">των </w:t>
      </w:r>
      <w:r>
        <w:rPr>
          <w:color w:val="00173C"/>
        </w:rPr>
        <w:t>περιθ</w:t>
      </w:r>
      <w:r w:rsidR="00660151">
        <w:rPr>
          <w:color w:val="00173C"/>
        </w:rPr>
        <w:t>ωρίων</w:t>
      </w:r>
      <w:r>
        <w:rPr>
          <w:color w:val="00173C"/>
        </w:rPr>
        <w:t xml:space="preserve"> κέρδους. </w:t>
      </w:r>
      <w:r w:rsidR="00133532">
        <w:rPr>
          <w:color w:val="00173C"/>
        </w:rPr>
        <w:t>Η</w:t>
      </w:r>
      <w:r>
        <w:rPr>
          <w:color w:val="00173C"/>
        </w:rPr>
        <w:t xml:space="preserve"> Αίγυπτος κατέγραψε </w:t>
      </w:r>
      <w:r w:rsidR="00DE7BC6">
        <w:rPr>
          <w:color w:val="00173C"/>
        </w:rPr>
        <w:t xml:space="preserve">περιορισμένα </w:t>
      </w:r>
      <w:r>
        <w:rPr>
          <w:color w:val="00173C"/>
        </w:rPr>
        <w:t xml:space="preserve">θετικά λειτουργικά κέρδη (EBITDA) το </w:t>
      </w:r>
      <w:r w:rsidR="00F2416C">
        <w:rPr>
          <w:color w:val="00173C"/>
        </w:rPr>
        <w:t>Α’</w:t>
      </w:r>
      <w:r>
        <w:rPr>
          <w:color w:val="00173C"/>
        </w:rPr>
        <w:t xml:space="preserve"> εξάμηνο του έτους.</w:t>
      </w:r>
    </w:p>
    <w:p w14:paraId="5142E30F" w14:textId="77777777" w:rsidR="00B9646B" w:rsidRPr="00F42A96" w:rsidRDefault="00B9646B" w:rsidP="00B9646B">
      <w:pPr>
        <w:pStyle w:val="BodyText"/>
        <w:spacing w:before="1"/>
        <w:ind w:left="0" w:right="148"/>
        <w:jc w:val="both"/>
        <w:rPr>
          <w:color w:val="00173C"/>
        </w:rPr>
      </w:pPr>
      <w:r>
        <w:rPr>
          <w:color w:val="00173C"/>
        </w:rPr>
        <w:t xml:space="preserve">Στην </w:t>
      </w:r>
      <w:r w:rsidR="00A57B20">
        <w:rPr>
          <w:color w:val="00173C"/>
        </w:rPr>
        <w:t>Τουρκία, ο</w:t>
      </w:r>
      <w:r>
        <w:rPr>
          <w:color w:val="00173C"/>
        </w:rPr>
        <w:t xml:space="preserve">ι εγχώριες πωλήσεις της </w:t>
      </w:r>
      <w:proofErr w:type="spellStart"/>
      <w:r>
        <w:rPr>
          <w:color w:val="00173C"/>
        </w:rPr>
        <w:t>Adocim</w:t>
      </w:r>
      <w:proofErr w:type="spellEnd"/>
      <w:r>
        <w:rPr>
          <w:color w:val="00173C"/>
        </w:rPr>
        <w:t xml:space="preserve"> αυξήθηκαν σημαντικά σε σχέση με την αντίστοιχη περίοδο πέρ</w:t>
      </w:r>
      <w:r w:rsidR="00432A25">
        <w:rPr>
          <w:color w:val="00173C"/>
        </w:rPr>
        <w:t>υ</w:t>
      </w:r>
      <w:r w:rsidR="00762E58">
        <w:rPr>
          <w:color w:val="00173C"/>
        </w:rPr>
        <w:t>σι με παράλληλη αύξηση και των τιμών, γεγονός που αντανακλά</w:t>
      </w:r>
      <w:r>
        <w:rPr>
          <w:color w:val="00173C"/>
        </w:rPr>
        <w:t xml:space="preserve"> την </w:t>
      </w:r>
      <w:r w:rsidR="00FD09CB">
        <w:rPr>
          <w:color w:val="00173C"/>
        </w:rPr>
        <w:t xml:space="preserve">πλήρη </w:t>
      </w:r>
      <w:r w:rsidR="00762E58">
        <w:rPr>
          <w:color w:val="00173C"/>
        </w:rPr>
        <w:t>κάλυψη της προσφοράς από την αυξημένη ζήτηση</w:t>
      </w:r>
      <w:r>
        <w:rPr>
          <w:color w:val="00173C"/>
        </w:rPr>
        <w:t xml:space="preserve">. Οι επενδύσεις στις κατασκευές νέων κατοικιών εξακολουθούν να παρέχουν ένα ασφαλές περιβάλλον για τις αποταμιεύσεις, να εξυπηρετούν τις ανάγκες στέγασης του αυξανόμενου πληθυσμού και να ανταποκρίνονται στις απαιτήσεις των νέων αντισεισμικών κανονισμών. </w:t>
      </w:r>
      <w:r w:rsidR="00A57B20">
        <w:rPr>
          <w:color w:val="00173C"/>
        </w:rPr>
        <w:t>Επιπλέον,</w:t>
      </w:r>
      <w:r>
        <w:rPr>
          <w:color w:val="00173C"/>
        </w:rPr>
        <w:t xml:space="preserve"> το πλήθος των ιδιωτικών επενδύσεων σε μικρής κλίμακας έργα στους κλάδους της μεταποίησης και της βιομηχανίας ενισχύει τη ζήτηση. Η εξασθένηση</w:t>
      </w:r>
      <w:r w:rsidR="00660151">
        <w:rPr>
          <w:color w:val="00173C"/>
        </w:rPr>
        <w:t xml:space="preserve"> όμως</w:t>
      </w:r>
      <w:r>
        <w:rPr>
          <w:color w:val="00173C"/>
        </w:rPr>
        <w:t xml:space="preserve"> του </w:t>
      </w:r>
      <w:r w:rsidR="00432A25">
        <w:rPr>
          <w:color w:val="00173C"/>
        </w:rPr>
        <w:t>τοπικού</w:t>
      </w:r>
      <w:r>
        <w:rPr>
          <w:color w:val="00173C"/>
        </w:rPr>
        <w:t xml:space="preserve"> νομίσματος και </w:t>
      </w:r>
      <w:r w:rsidR="00B06952">
        <w:rPr>
          <w:color w:val="00173C"/>
        </w:rPr>
        <w:t xml:space="preserve">η έκθεση </w:t>
      </w:r>
      <w:r w:rsidR="00CA5942">
        <w:rPr>
          <w:color w:val="00173C"/>
        </w:rPr>
        <w:t xml:space="preserve">της χώρας </w:t>
      </w:r>
      <w:r w:rsidR="00B06952">
        <w:rPr>
          <w:color w:val="00173C"/>
        </w:rPr>
        <w:t xml:space="preserve">σε </w:t>
      </w:r>
      <w:r w:rsidR="00432A25" w:rsidRPr="00432A25">
        <w:rPr>
          <w:color w:val="00173C"/>
        </w:rPr>
        <w:t>κ</w:t>
      </w:r>
      <w:r w:rsidR="00432A25">
        <w:rPr>
          <w:color w:val="00173C"/>
        </w:rPr>
        <w:t xml:space="preserve">όστη </w:t>
      </w:r>
      <w:r w:rsidR="00B06952">
        <w:rPr>
          <w:color w:val="00173C"/>
        </w:rPr>
        <w:t xml:space="preserve">που τιμολογούνται </w:t>
      </w:r>
      <w:r>
        <w:rPr>
          <w:color w:val="00173C"/>
        </w:rPr>
        <w:t xml:space="preserve">σε ξένο νόμισμα περιόρισαν την κερδοφορία </w:t>
      </w:r>
      <w:r w:rsidR="00432A25">
        <w:rPr>
          <w:color w:val="00173C"/>
        </w:rPr>
        <w:t>της</w:t>
      </w:r>
      <w:r>
        <w:rPr>
          <w:color w:val="00173C"/>
        </w:rPr>
        <w:t xml:space="preserve"> Τουρκία</w:t>
      </w:r>
      <w:r w:rsidR="00432A25">
        <w:rPr>
          <w:color w:val="00173C"/>
        </w:rPr>
        <w:t>ς</w:t>
      </w:r>
      <w:r w:rsidR="00B06952">
        <w:rPr>
          <w:color w:val="00173C"/>
        </w:rPr>
        <w:t xml:space="preserve"> και</w:t>
      </w:r>
      <w:r w:rsidR="00410158">
        <w:rPr>
          <w:color w:val="00173C"/>
        </w:rPr>
        <w:t xml:space="preserve"> τη συνεισφορά της στα αποτελέσματα της</w:t>
      </w:r>
      <w:r w:rsidR="00B06952">
        <w:rPr>
          <w:color w:val="00173C"/>
        </w:rPr>
        <w:t xml:space="preserve"> Ανατ. Μεσογείου</w:t>
      </w:r>
      <w:r w:rsidR="00410158">
        <w:rPr>
          <w:color w:val="00173C"/>
        </w:rPr>
        <w:t xml:space="preserve">. </w:t>
      </w:r>
    </w:p>
    <w:p w14:paraId="5142E310" w14:textId="77777777" w:rsidR="00B9646B" w:rsidRDefault="00B9646B" w:rsidP="00B9646B">
      <w:pPr>
        <w:pStyle w:val="BodyText"/>
        <w:ind w:left="0" w:right="184"/>
        <w:jc w:val="both"/>
        <w:rPr>
          <w:sz w:val="17"/>
          <w:szCs w:val="17"/>
        </w:rPr>
      </w:pPr>
      <w:r w:rsidRPr="00F42A96">
        <w:rPr>
          <w:color w:val="00173C"/>
        </w:rPr>
        <w:t xml:space="preserve">Ο συνολικός κύκλος εργασιών </w:t>
      </w:r>
      <w:r w:rsidR="00904E48" w:rsidRPr="00F42A96">
        <w:rPr>
          <w:color w:val="00173C"/>
        </w:rPr>
        <w:t>σ</w:t>
      </w:r>
      <w:r w:rsidRPr="00F42A96">
        <w:rPr>
          <w:color w:val="00173C"/>
        </w:rPr>
        <w:t>την Ανατολ</w:t>
      </w:r>
      <w:r w:rsidR="00C05F85" w:rsidRPr="00F42A96">
        <w:rPr>
          <w:color w:val="00173C"/>
        </w:rPr>
        <w:t>ική Μεσόγειο διαμορφώθηκε στα €75,9 εκ., σημειώνοντας πτώση 6,4</w:t>
      </w:r>
      <w:r w:rsidRPr="00F42A96">
        <w:rPr>
          <w:color w:val="00173C"/>
        </w:rPr>
        <w:t>% έναντι της αντίστοιχης περιόδου πέρ</w:t>
      </w:r>
      <w:r w:rsidR="00904E48" w:rsidRPr="00F42A96">
        <w:rPr>
          <w:color w:val="00173C"/>
        </w:rPr>
        <w:t>υ</w:t>
      </w:r>
      <w:r w:rsidRPr="00F42A96">
        <w:rPr>
          <w:color w:val="00173C"/>
        </w:rPr>
        <w:t xml:space="preserve">σι, αν και σε </w:t>
      </w:r>
      <w:r w:rsidR="00904E48" w:rsidRPr="00F42A96">
        <w:rPr>
          <w:color w:val="00173C"/>
        </w:rPr>
        <w:t>τοπικό</w:t>
      </w:r>
      <w:r w:rsidRPr="00F42A96">
        <w:rPr>
          <w:color w:val="00173C"/>
        </w:rPr>
        <w:t xml:space="preserve"> νόμισμα </w:t>
      </w:r>
      <w:r w:rsidR="00C05F85" w:rsidRPr="00F42A96">
        <w:rPr>
          <w:color w:val="00173C"/>
        </w:rPr>
        <w:t>υπήρξε άνοδος 8,6</w:t>
      </w:r>
      <w:r w:rsidRPr="00F42A96">
        <w:rPr>
          <w:color w:val="00173C"/>
        </w:rPr>
        <w:t>%.</w:t>
      </w:r>
      <w:r>
        <w:rPr>
          <w:color w:val="00173C"/>
        </w:rPr>
        <w:t xml:space="preserve"> Τα λειτουργικά κέρδη (EBITDA) </w:t>
      </w:r>
      <w:r w:rsidR="00C05F85">
        <w:rPr>
          <w:color w:val="00173C"/>
        </w:rPr>
        <w:t>διαμορφώθηκαν στα €2,4 εκ., αύξηση 1,4</w:t>
      </w:r>
      <w:r>
        <w:rPr>
          <w:color w:val="00173C"/>
        </w:rPr>
        <w:t>% έναντι του</w:t>
      </w:r>
      <w:r w:rsidR="004F5343">
        <w:rPr>
          <w:color w:val="00173C"/>
        </w:rPr>
        <w:t xml:space="preserve"> Α’</w:t>
      </w:r>
      <w:r>
        <w:rPr>
          <w:color w:val="00173C"/>
        </w:rPr>
        <w:t xml:space="preserve"> εξαμήνου του 2020.</w:t>
      </w:r>
    </w:p>
    <w:p w14:paraId="5142E311" w14:textId="77777777" w:rsidR="00F575A4" w:rsidRPr="00D7577D" w:rsidRDefault="00F575A4" w:rsidP="00B9646B">
      <w:pPr>
        <w:jc w:val="both"/>
        <w:rPr>
          <w:rFonts w:ascii="Calibri Light" w:hAnsi="Calibri Light" w:cs="Calibri"/>
          <w:sz w:val="21"/>
          <w:szCs w:val="21"/>
          <w:lang w:val="el-GR"/>
        </w:rPr>
      </w:pPr>
    </w:p>
    <w:p w14:paraId="5142E312" w14:textId="77777777" w:rsidR="00F575A4" w:rsidRDefault="00F575A4" w:rsidP="00F575A4">
      <w:pPr>
        <w:jc w:val="both"/>
        <w:rPr>
          <w:rFonts w:ascii="Calibri" w:eastAsia="Calibri" w:hAnsi="Calibri" w:cs="Calibri"/>
          <w:bCs/>
          <w:sz w:val="21"/>
          <w:szCs w:val="21"/>
          <w:lang w:val="el-GR"/>
        </w:rPr>
      </w:pPr>
    </w:p>
    <w:p w14:paraId="5142E313" w14:textId="77777777" w:rsidR="007F7DC0" w:rsidRPr="00EE3A08" w:rsidRDefault="007F7DC0" w:rsidP="00F575A4">
      <w:pPr>
        <w:jc w:val="both"/>
        <w:rPr>
          <w:rFonts w:ascii="Calibri" w:eastAsia="Calibri" w:hAnsi="Calibri" w:cs="Calibri"/>
          <w:bCs/>
          <w:sz w:val="21"/>
          <w:szCs w:val="21"/>
          <w:lang w:val="el-GR"/>
        </w:rPr>
      </w:pPr>
    </w:p>
    <w:p w14:paraId="5142E314" w14:textId="77777777" w:rsidR="00F575A4" w:rsidRPr="00D7577D" w:rsidRDefault="00F575A4" w:rsidP="00F575A4">
      <w:pPr>
        <w:jc w:val="both"/>
        <w:rPr>
          <w:rFonts w:ascii="Calibri" w:eastAsia="Calibri" w:hAnsi="Calibri" w:cs="Calibri"/>
          <w:b/>
          <w:bCs/>
          <w:color w:val="01B1D7"/>
          <w:sz w:val="28"/>
          <w:szCs w:val="28"/>
          <w:lang w:val="el-GR"/>
        </w:rPr>
      </w:pPr>
      <w:r>
        <w:rPr>
          <w:rFonts w:ascii="Calibri" w:eastAsia="Calibri" w:hAnsi="Calibri" w:cs="Calibri"/>
          <w:b/>
          <w:bCs/>
          <w:color w:val="01B1D7"/>
          <w:sz w:val="28"/>
          <w:szCs w:val="28"/>
          <w:lang w:val="el-GR"/>
        </w:rPr>
        <w:t>Βραζιλία</w:t>
      </w:r>
      <w:r w:rsidRPr="00D7577D">
        <w:rPr>
          <w:rFonts w:ascii="Calibri" w:eastAsia="Calibri" w:hAnsi="Calibri" w:cs="Calibri"/>
          <w:b/>
          <w:bCs/>
          <w:color w:val="01B1D7"/>
          <w:sz w:val="28"/>
          <w:szCs w:val="28"/>
          <w:lang w:val="el-GR"/>
        </w:rPr>
        <w:t xml:space="preserve"> (</w:t>
      </w:r>
      <w:r>
        <w:rPr>
          <w:rFonts w:ascii="Calibri" w:eastAsia="Calibri" w:hAnsi="Calibri" w:cs="Calibri"/>
          <w:b/>
          <w:bCs/>
          <w:color w:val="01B1D7"/>
          <w:sz w:val="28"/>
          <w:szCs w:val="28"/>
          <w:lang w:val="el-GR"/>
        </w:rPr>
        <w:t>Κοινοπραξία</w:t>
      </w:r>
      <w:r w:rsidRPr="00D7577D">
        <w:rPr>
          <w:rFonts w:ascii="Calibri" w:eastAsia="Calibri" w:hAnsi="Calibri" w:cs="Calibri"/>
          <w:b/>
          <w:bCs/>
          <w:color w:val="01B1D7"/>
          <w:sz w:val="28"/>
          <w:szCs w:val="28"/>
          <w:lang w:val="el-GR"/>
        </w:rPr>
        <w:t>)</w:t>
      </w:r>
    </w:p>
    <w:p w14:paraId="5142E315" w14:textId="64579F81" w:rsidR="00B9646B" w:rsidRDefault="00B9646B" w:rsidP="00B9646B">
      <w:pPr>
        <w:pStyle w:val="BodyText"/>
        <w:ind w:left="0" w:right="-82"/>
        <w:jc w:val="both"/>
        <w:rPr>
          <w:color w:val="00173C"/>
        </w:rPr>
      </w:pPr>
      <w:r>
        <w:rPr>
          <w:color w:val="00173C"/>
        </w:rPr>
        <w:t xml:space="preserve">Η αγορά στο βορειοανατολικό τμήμα της Βραζιλίας </w:t>
      </w:r>
      <w:r w:rsidR="00CA5942">
        <w:rPr>
          <w:color w:val="00173C"/>
        </w:rPr>
        <w:t xml:space="preserve">εξακολούθησε </w:t>
      </w:r>
      <w:r>
        <w:rPr>
          <w:color w:val="00173C"/>
        </w:rPr>
        <w:t xml:space="preserve"> να κινείται ανοδικά, σημειώνοντας αύξηση 15% έναντι τ</w:t>
      </w:r>
      <w:r w:rsidR="00F34612">
        <w:rPr>
          <w:color w:val="00173C"/>
        </w:rPr>
        <w:t xml:space="preserve">ου πρώτου εξαμήνου του 2020, </w:t>
      </w:r>
      <w:r>
        <w:rPr>
          <w:color w:val="00173C"/>
        </w:rPr>
        <w:t xml:space="preserve">διατηρώντας την πορεία ανάκαμψης που παρατηρείται τα τελευταία τέσσερα τρίμηνα. Οι πωλήσεις της κοινοπραξίας </w:t>
      </w:r>
      <w:proofErr w:type="spellStart"/>
      <w:r>
        <w:rPr>
          <w:color w:val="00173C"/>
        </w:rPr>
        <w:t>Apodi</w:t>
      </w:r>
      <w:proofErr w:type="spellEnd"/>
      <w:r>
        <w:rPr>
          <w:color w:val="00173C"/>
        </w:rPr>
        <w:t xml:space="preserve"> αυξήθηκαν χάρη στην ισχυρότερη ζήτηση </w:t>
      </w:r>
      <w:r w:rsidR="00573D54">
        <w:rPr>
          <w:color w:val="00173C"/>
        </w:rPr>
        <w:t>του</w:t>
      </w:r>
      <w:r>
        <w:rPr>
          <w:color w:val="00173C"/>
        </w:rPr>
        <w:t xml:space="preserve"> κλάδο</w:t>
      </w:r>
      <w:r w:rsidR="00573D54">
        <w:rPr>
          <w:color w:val="00173C"/>
        </w:rPr>
        <w:t>υ</w:t>
      </w:r>
      <w:r>
        <w:rPr>
          <w:color w:val="00173C"/>
        </w:rPr>
        <w:t xml:space="preserve"> κατοικιών και εμπορικών ακινήτων. </w:t>
      </w:r>
      <w:r w:rsidR="00573D54">
        <w:rPr>
          <w:color w:val="00173C"/>
        </w:rPr>
        <w:t>Τ</w:t>
      </w:r>
      <w:r>
        <w:rPr>
          <w:color w:val="00173C"/>
        </w:rPr>
        <w:t xml:space="preserve">ο πρώτο εξάμηνο του έτους η </w:t>
      </w:r>
      <w:proofErr w:type="spellStart"/>
      <w:r>
        <w:rPr>
          <w:color w:val="00173C"/>
        </w:rPr>
        <w:t>Apodi</w:t>
      </w:r>
      <w:proofErr w:type="spellEnd"/>
      <w:r>
        <w:rPr>
          <w:color w:val="00173C"/>
        </w:rPr>
        <w:t xml:space="preserve"> κατέγραψε </w:t>
      </w:r>
      <w:r w:rsidR="00573D54">
        <w:rPr>
          <w:color w:val="00173C"/>
        </w:rPr>
        <w:t>αύξηση</w:t>
      </w:r>
      <w:r w:rsidR="00182680">
        <w:rPr>
          <w:color w:val="00173C"/>
        </w:rPr>
        <w:t xml:space="preserve"> του κύκλου εργασιών στα €36,7</w:t>
      </w:r>
      <w:r>
        <w:rPr>
          <w:color w:val="00173C"/>
        </w:rPr>
        <w:t xml:space="preserve"> εκ. (έναντι €29,9 εκ. το πρώτο εξάμηνο του 2020) και των λει</w:t>
      </w:r>
      <w:r w:rsidR="00182680">
        <w:rPr>
          <w:color w:val="00173C"/>
        </w:rPr>
        <w:t>τουργικών κερδών (EBITDA) στα €8,8</w:t>
      </w:r>
      <w:r>
        <w:rPr>
          <w:color w:val="00173C"/>
        </w:rPr>
        <w:t xml:space="preserve"> εκ. (έναντι €3,5 εκ. το 2020), </w:t>
      </w:r>
      <w:r w:rsidR="00573D54">
        <w:rPr>
          <w:color w:val="00173C"/>
        </w:rPr>
        <w:t xml:space="preserve">ενισχύοντας </w:t>
      </w:r>
      <w:r>
        <w:rPr>
          <w:color w:val="00173C"/>
        </w:rPr>
        <w:t xml:space="preserve">τη </w:t>
      </w:r>
      <w:r w:rsidR="00573D54">
        <w:rPr>
          <w:color w:val="00173C"/>
        </w:rPr>
        <w:t>συνεισφορά</w:t>
      </w:r>
      <w:r>
        <w:rPr>
          <w:color w:val="00173C"/>
        </w:rPr>
        <w:t xml:space="preserve"> της στα καθαρά αποτελέσματα του Ομίλου.</w:t>
      </w:r>
    </w:p>
    <w:p w14:paraId="5142E316" w14:textId="77777777" w:rsidR="00182680" w:rsidRDefault="00182680" w:rsidP="00B9646B">
      <w:pPr>
        <w:pStyle w:val="BodyText"/>
        <w:ind w:left="0" w:right="-82"/>
        <w:jc w:val="both"/>
      </w:pPr>
    </w:p>
    <w:p w14:paraId="5142E317" w14:textId="77777777" w:rsidR="00410158" w:rsidRDefault="00410158" w:rsidP="00F575A4">
      <w:pPr>
        <w:pStyle w:val="C"/>
        <w:spacing w:line="240" w:lineRule="auto"/>
        <w:jc w:val="both"/>
        <w:rPr>
          <w:lang w:val="el-GR"/>
        </w:rPr>
      </w:pPr>
    </w:p>
    <w:p w14:paraId="5142E318" w14:textId="77777777" w:rsidR="00F575A4" w:rsidRPr="0018547A" w:rsidRDefault="00F575A4" w:rsidP="00F575A4">
      <w:pPr>
        <w:pStyle w:val="C"/>
        <w:spacing w:line="240" w:lineRule="auto"/>
        <w:jc w:val="both"/>
        <w:rPr>
          <w:rFonts w:eastAsia="Calibri" w:cs="Calibri"/>
          <w:b w:val="0"/>
          <w:bCs w:val="0"/>
          <w:color w:val="444444"/>
          <w:sz w:val="27"/>
          <w:szCs w:val="27"/>
          <w:lang w:val="el-GR"/>
        </w:rPr>
      </w:pPr>
      <w:r>
        <w:rPr>
          <w:rFonts w:cs="Calibri"/>
          <w:noProof/>
          <w:lang w:val="en-US"/>
        </w:rPr>
        <mc:AlternateContent>
          <mc:Choice Requires="wps">
            <w:drawing>
              <wp:anchor distT="0" distB="0" distL="114300" distR="114300" simplePos="0" relativeHeight="251658254" behindDoc="0" locked="0" layoutInCell="1" allowOverlap="1" wp14:anchorId="5142E64A" wp14:editId="5142E64B">
                <wp:simplePos x="0" y="0"/>
                <wp:positionH relativeFrom="column">
                  <wp:posOffset>-1634</wp:posOffset>
                </wp:positionH>
                <wp:positionV relativeFrom="paragraph">
                  <wp:posOffset>231428</wp:posOffset>
                </wp:positionV>
                <wp:extent cx="6116491" cy="1921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6116491" cy="1921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00356474" id="Straight Connector 14"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2pt" to="481.4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" strokecolor="#00183d" strokeweight=".25pt"/>
            </w:pict>
          </mc:Fallback>
        </mc:AlternateContent>
      </w:r>
      <w:r w:rsidRPr="0018547A">
        <w:rPr>
          <w:lang w:val="el-GR"/>
        </w:rPr>
        <w:t xml:space="preserve">Χρηματοδότηση &amp; Επενδύσεις </w:t>
      </w:r>
    </w:p>
    <w:p w14:paraId="5142E319" w14:textId="77777777" w:rsidR="00B9646B" w:rsidRPr="008F07F7" w:rsidRDefault="00B9646B" w:rsidP="00B9646B">
      <w:pPr>
        <w:pStyle w:val="BodyText"/>
        <w:spacing w:before="198"/>
        <w:ind w:left="0" w:right="-54"/>
        <w:jc w:val="both"/>
        <w:rPr>
          <w:color w:val="00173C"/>
        </w:rPr>
      </w:pPr>
      <w:r w:rsidRPr="008F07F7">
        <w:rPr>
          <w:color w:val="00173C"/>
        </w:rPr>
        <w:t>Οι ελεύθερες ταμειακές ροές του Ομίλου ανήλθαν σε €</w:t>
      </w:r>
      <w:r w:rsidR="007D63C1" w:rsidRPr="008F07F7">
        <w:rPr>
          <w:color w:val="00173C"/>
        </w:rPr>
        <w:t>60,5</w:t>
      </w:r>
      <w:r w:rsidRPr="008F07F7">
        <w:rPr>
          <w:color w:val="00173C"/>
        </w:rPr>
        <w:t xml:space="preserve"> εκ.</w:t>
      </w:r>
      <w:r w:rsidR="004F618C" w:rsidRPr="008F07F7">
        <w:rPr>
          <w:color w:val="00173C"/>
        </w:rPr>
        <w:t>,</w:t>
      </w:r>
      <w:r w:rsidRPr="008F07F7">
        <w:rPr>
          <w:color w:val="00173C"/>
        </w:rPr>
        <w:t xml:space="preserve"> χαμηλότερες κατά €</w:t>
      </w:r>
      <w:r w:rsidR="007D63C1" w:rsidRPr="008F07F7">
        <w:rPr>
          <w:color w:val="00173C"/>
        </w:rPr>
        <w:t>8,4</w:t>
      </w:r>
      <w:r w:rsidRPr="008F07F7">
        <w:rPr>
          <w:color w:val="00173C"/>
        </w:rPr>
        <w:t xml:space="preserve"> εκ. σε σύγκριση με το πρώτο εξάμηνο του 2020.</w:t>
      </w:r>
      <w:r>
        <w:rPr>
          <w:color w:val="00173C"/>
        </w:rPr>
        <w:t xml:space="preserve"> Οι ταμειακές ροές ευνοήθηκαν από τα υψηλότερα επίπεδα των λειτουργικών κερδών (EBITDA), αλλά </w:t>
      </w:r>
      <w:r w:rsidR="00F34612">
        <w:rPr>
          <w:color w:val="00173C"/>
        </w:rPr>
        <w:t xml:space="preserve">περιορίστηκαν από τις υψηλότερες </w:t>
      </w:r>
      <w:r>
        <w:rPr>
          <w:color w:val="00173C"/>
        </w:rPr>
        <w:t>ε</w:t>
      </w:r>
      <w:r w:rsidR="007D63C1">
        <w:rPr>
          <w:color w:val="00173C"/>
        </w:rPr>
        <w:t xml:space="preserve">πενδυτικές δαπάνες </w:t>
      </w:r>
      <w:r w:rsidR="00F34612">
        <w:rPr>
          <w:color w:val="00173C"/>
        </w:rPr>
        <w:t xml:space="preserve">που </w:t>
      </w:r>
      <w:r w:rsidR="007D63C1">
        <w:rPr>
          <w:color w:val="00173C"/>
        </w:rPr>
        <w:t>ανήλθαν σε €54,3</w:t>
      </w:r>
      <w:r>
        <w:rPr>
          <w:color w:val="00173C"/>
        </w:rPr>
        <w:t xml:space="preserve"> εκ., </w:t>
      </w:r>
      <w:r w:rsidR="0047760C">
        <w:rPr>
          <w:color w:val="00173C"/>
        </w:rPr>
        <w:t>σημειώνοντας</w:t>
      </w:r>
      <w:r>
        <w:rPr>
          <w:color w:val="00173C"/>
        </w:rPr>
        <w:t xml:space="preserve"> αύξηση </w:t>
      </w:r>
      <w:r w:rsidR="0047760C">
        <w:rPr>
          <w:color w:val="00173C"/>
        </w:rPr>
        <w:t>ύψους</w:t>
      </w:r>
      <w:r>
        <w:rPr>
          <w:color w:val="00173C"/>
        </w:rPr>
        <w:t xml:space="preserve"> €</w:t>
      </w:r>
      <w:r w:rsidR="007D63C1">
        <w:rPr>
          <w:color w:val="00173C"/>
        </w:rPr>
        <w:t>13,8</w:t>
      </w:r>
      <w:r>
        <w:rPr>
          <w:color w:val="00173C"/>
        </w:rPr>
        <w:t xml:space="preserve"> εκ. σε σύγκριση με τις περιορισμένες λόγω </w:t>
      </w:r>
      <w:proofErr w:type="spellStart"/>
      <w:r>
        <w:rPr>
          <w:color w:val="00173C"/>
        </w:rPr>
        <w:t>κορονοϊού</w:t>
      </w:r>
      <w:proofErr w:type="spellEnd"/>
      <w:r>
        <w:rPr>
          <w:color w:val="00173C"/>
        </w:rPr>
        <w:t xml:space="preserve"> επενδυτικές δαπάνες το </w:t>
      </w:r>
      <w:r w:rsidR="000C3943">
        <w:rPr>
          <w:color w:val="00173C"/>
        </w:rPr>
        <w:t xml:space="preserve">αντίστοιχο διάστημα  του </w:t>
      </w:r>
      <w:r>
        <w:rPr>
          <w:color w:val="00173C"/>
        </w:rPr>
        <w:t>2020.</w:t>
      </w:r>
    </w:p>
    <w:p w14:paraId="5142E31A" w14:textId="77777777" w:rsidR="00B9646B" w:rsidRPr="008F07F7" w:rsidRDefault="00B9646B" w:rsidP="00B9646B">
      <w:pPr>
        <w:spacing w:before="17" w:line="240" w:lineRule="exact"/>
        <w:ind w:right="-54"/>
        <w:jc w:val="both"/>
        <w:rPr>
          <w:rFonts w:ascii="Calibri" w:eastAsia="Calibri" w:hAnsi="Calibri" w:cstheme="minorBidi"/>
          <w:color w:val="00173C"/>
          <w:sz w:val="21"/>
          <w:szCs w:val="21"/>
          <w:lang w:val="el-GR" w:eastAsia="el-GR" w:bidi="el-GR"/>
        </w:rPr>
      </w:pPr>
    </w:p>
    <w:p w14:paraId="5142E31B" w14:textId="77777777" w:rsidR="00B9646B" w:rsidRPr="008F07F7" w:rsidRDefault="00B9646B" w:rsidP="00B9646B">
      <w:pPr>
        <w:pStyle w:val="BodyText"/>
        <w:ind w:left="0" w:right="-54"/>
        <w:jc w:val="both"/>
        <w:rPr>
          <w:color w:val="00173C"/>
        </w:rPr>
      </w:pPr>
      <w:r>
        <w:rPr>
          <w:color w:val="00173C"/>
        </w:rPr>
        <w:t>Τ</w:t>
      </w:r>
      <w:r w:rsidR="00573D54">
        <w:rPr>
          <w:color w:val="00173C"/>
        </w:rPr>
        <w:t>α</w:t>
      </w:r>
      <w:r>
        <w:rPr>
          <w:color w:val="00173C"/>
        </w:rPr>
        <w:t xml:space="preserve"> </w:t>
      </w:r>
      <w:r w:rsidR="00573D54">
        <w:rPr>
          <w:color w:val="00173C"/>
        </w:rPr>
        <w:t>καθαρά</w:t>
      </w:r>
      <w:r w:rsidR="004F618C">
        <w:rPr>
          <w:color w:val="00173C"/>
        </w:rPr>
        <w:t xml:space="preserve"> </w:t>
      </w:r>
      <w:r w:rsidR="00573D54">
        <w:rPr>
          <w:color w:val="00173C"/>
        </w:rPr>
        <w:t xml:space="preserve">χρηματοοικονομικά έξοδα </w:t>
      </w:r>
      <w:r>
        <w:rPr>
          <w:color w:val="00173C"/>
        </w:rPr>
        <w:t>το πρώ</w:t>
      </w:r>
      <w:r w:rsidR="007D63C1">
        <w:rPr>
          <w:color w:val="00173C"/>
        </w:rPr>
        <w:t>το εξάμηνο του 2021 ήταν κατά €16,</w:t>
      </w:r>
      <w:r w:rsidR="00200977" w:rsidRPr="00200977">
        <w:rPr>
          <w:color w:val="00173C"/>
        </w:rPr>
        <w:t>4</w:t>
      </w:r>
      <w:r w:rsidR="00573D54">
        <w:rPr>
          <w:color w:val="00173C"/>
        </w:rPr>
        <w:t xml:space="preserve"> εκ. χαμηλότερα</w:t>
      </w:r>
      <w:r>
        <w:rPr>
          <w:color w:val="00173C"/>
        </w:rPr>
        <w:t xml:space="preserve"> και </w:t>
      </w:r>
      <w:r w:rsidR="00573D54">
        <w:rPr>
          <w:color w:val="00173C"/>
        </w:rPr>
        <w:t>ανήλθαν</w:t>
      </w:r>
      <w:r w:rsidR="004F618C">
        <w:rPr>
          <w:color w:val="00173C"/>
        </w:rPr>
        <w:t xml:space="preserve"> σε </w:t>
      </w:r>
      <w:r>
        <w:rPr>
          <w:color w:val="00173C"/>
        </w:rPr>
        <w:t>€</w:t>
      </w:r>
      <w:r w:rsidR="00200977">
        <w:rPr>
          <w:color w:val="00173C"/>
        </w:rPr>
        <w:t>15,</w:t>
      </w:r>
      <w:r w:rsidR="00200977" w:rsidRPr="00200977">
        <w:rPr>
          <w:color w:val="00173C"/>
        </w:rPr>
        <w:t>7</w:t>
      </w:r>
      <w:r w:rsidR="007D63C1">
        <w:rPr>
          <w:color w:val="00173C"/>
        </w:rPr>
        <w:t xml:space="preserve"> εκ</w:t>
      </w:r>
      <w:r>
        <w:rPr>
          <w:color w:val="00173C"/>
        </w:rPr>
        <w:t>.</w:t>
      </w:r>
      <w:r w:rsidR="004F618C">
        <w:rPr>
          <w:color w:val="00173C"/>
        </w:rPr>
        <w:t>, αντανακλώντας ε</w:t>
      </w:r>
      <w:r>
        <w:rPr>
          <w:color w:val="00173C"/>
        </w:rPr>
        <w:t xml:space="preserve">ν μέρει </w:t>
      </w:r>
      <w:r w:rsidR="00FB51DA">
        <w:rPr>
          <w:color w:val="00173C"/>
        </w:rPr>
        <w:t>τις χαμηλότερες δανειακές</w:t>
      </w:r>
      <w:r>
        <w:rPr>
          <w:color w:val="00173C"/>
        </w:rPr>
        <w:t xml:space="preserve"> υποχρ</w:t>
      </w:r>
      <w:r w:rsidR="00FB51DA">
        <w:rPr>
          <w:color w:val="00173C"/>
        </w:rPr>
        <w:t xml:space="preserve">εώσεις, </w:t>
      </w:r>
      <w:r>
        <w:rPr>
          <w:color w:val="00173C"/>
        </w:rPr>
        <w:t>τα χαμηλότερα επιτόκια</w:t>
      </w:r>
      <w:r w:rsidR="00D81C5D">
        <w:rPr>
          <w:color w:val="00173C"/>
        </w:rPr>
        <w:t xml:space="preserve"> δανεισμού</w:t>
      </w:r>
      <w:r>
        <w:rPr>
          <w:color w:val="00173C"/>
        </w:rPr>
        <w:t>, καθ</w:t>
      </w:r>
      <w:r w:rsidR="004F618C">
        <w:rPr>
          <w:color w:val="00173C"/>
        </w:rPr>
        <w:t>ώς και τη θετική διαφορά από το</w:t>
      </w:r>
      <w:r>
        <w:rPr>
          <w:color w:val="00173C"/>
        </w:rPr>
        <w:t xml:space="preserve"> περσιν</w:t>
      </w:r>
      <w:r w:rsidR="004F618C">
        <w:rPr>
          <w:color w:val="00173C"/>
        </w:rPr>
        <w:t xml:space="preserve">ό </w:t>
      </w:r>
      <w:r w:rsidR="009C331F">
        <w:rPr>
          <w:color w:val="00173C"/>
        </w:rPr>
        <w:t>κόστος ύψους €</w:t>
      </w:r>
      <w:r w:rsidR="009C331F" w:rsidRPr="009C331F">
        <w:rPr>
          <w:color w:val="00173C"/>
        </w:rPr>
        <w:t>7</w:t>
      </w:r>
      <w:r w:rsidR="004F618C" w:rsidRPr="008F07F7">
        <w:rPr>
          <w:color w:val="00173C"/>
        </w:rPr>
        <w:t xml:space="preserve">εκ. από την αποτίμηση συμβάσεων </w:t>
      </w:r>
      <w:proofErr w:type="spellStart"/>
      <w:r w:rsidR="004F618C" w:rsidRPr="008F07F7">
        <w:rPr>
          <w:color w:val="00173C"/>
        </w:rPr>
        <w:t>hedging</w:t>
      </w:r>
      <w:proofErr w:type="spellEnd"/>
      <w:r w:rsidR="004F618C" w:rsidRPr="008F07F7">
        <w:rPr>
          <w:color w:val="00173C"/>
        </w:rPr>
        <w:t xml:space="preserve"> σταθερού επιτοκίου σε δολάρια.</w:t>
      </w:r>
    </w:p>
    <w:p w14:paraId="5142E31C" w14:textId="77777777" w:rsidR="00B9646B" w:rsidRPr="008F07F7" w:rsidRDefault="00B9646B" w:rsidP="00B9646B">
      <w:pPr>
        <w:spacing w:before="17" w:line="240" w:lineRule="exact"/>
        <w:ind w:right="-54"/>
        <w:jc w:val="both"/>
        <w:rPr>
          <w:rFonts w:ascii="Calibri" w:eastAsia="Calibri" w:hAnsi="Calibri" w:cstheme="minorBidi"/>
          <w:color w:val="00173C"/>
          <w:sz w:val="21"/>
          <w:szCs w:val="21"/>
          <w:lang w:val="el-GR" w:eastAsia="el-GR" w:bidi="el-GR"/>
        </w:rPr>
      </w:pPr>
    </w:p>
    <w:p w14:paraId="5142E31D" w14:textId="77777777" w:rsidR="00B9646B" w:rsidRPr="008F07F7" w:rsidRDefault="00B9646B" w:rsidP="00B9646B">
      <w:pPr>
        <w:pStyle w:val="BodyText"/>
        <w:ind w:left="0" w:right="-54"/>
        <w:jc w:val="both"/>
        <w:rPr>
          <w:color w:val="00173C"/>
        </w:rPr>
      </w:pPr>
      <w:r>
        <w:rPr>
          <w:color w:val="00173C"/>
        </w:rPr>
        <w:t>Στα τέλη του πρώτου εξαμήνου του 2021 ο καθαρός δανεισμός του Ομίλου ανήλθε σε €</w:t>
      </w:r>
      <w:r w:rsidR="007D63C1" w:rsidRPr="007D63C1">
        <w:rPr>
          <w:color w:val="00173C"/>
        </w:rPr>
        <w:t>691,4</w:t>
      </w:r>
      <w:r>
        <w:rPr>
          <w:color w:val="00173C"/>
        </w:rPr>
        <w:t xml:space="preserve"> εκ., υψηλότερος κατά €</w:t>
      </w:r>
      <w:r w:rsidR="007D63C1" w:rsidRPr="007D63C1">
        <w:rPr>
          <w:color w:val="00173C"/>
        </w:rPr>
        <w:t>7</w:t>
      </w:r>
      <w:r w:rsidR="00AB374C" w:rsidRPr="00AB374C">
        <w:rPr>
          <w:color w:val="00173C"/>
        </w:rPr>
        <w:t xml:space="preserve"> </w:t>
      </w:r>
      <w:r>
        <w:rPr>
          <w:color w:val="00173C"/>
        </w:rPr>
        <w:t>εκ. σε σύγκριση με το τέλος του 2020. Τα ταμειακά διαθέσιμα μειώθηκαν σ</w:t>
      </w:r>
      <w:r w:rsidR="00824031">
        <w:rPr>
          <w:color w:val="00173C"/>
        </w:rPr>
        <w:t>ε</w:t>
      </w:r>
      <w:r>
        <w:rPr>
          <w:color w:val="00173C"/>
        </w:rPr>
        <w:t xml:space="preserve"> €</w:t>
      </w:r>
      <w:r w:rsidR="007D63C1" w:rsidRPr="007D63C1">
        <w:rPr>
          <w:color w:val="00173C"/>
        </w:rPr>
        <w:t>93,7</w:t>
      </w:r>
      <w:r>
        <w:rPr>
          <w:color w:val="00173C"/>
        </w:rPr>
        <w:t xml:space="preserve"> εκ., μετά την </w:t>
      </w:r>
      <w:r w:rsidR="000B6295">
        <w:rPr>
          <w:color w:val="00173C"/>
        </w:rPr>
        <w:t>αποπληρωμή ομολ</w:t>
      </w:r>
      <w:r w:rsidR="009602E9">
        <w:rPr>
          <w:color w:val="00173C"/>
        </w:rPr>
        <w:t>ογιών</w:t>
      </w:r>
      <w:r w:rsidR="000B6295">
        <w:rPr>
          <w:color w:val="00173C"/>
        </w:rPr>
        <w:t xml:space="preserve"> ύψους €166 εκ. </w:t>
      </w:r>
      <w:r w:rsidR="009602E9">
        <w:rPr>
          <w:color w:val="00173C"/>
        </w:rPr>
        <w:t xml:space="preserve">που έληξαν </w:t>
      </w:r>
      <w:r>
        <w:rPr>
          <w:color w:val="00173C"/>
        </w:rPr>
        <w:t>τον Ιούνιο του 2021.</w:t>
      </w:r>
    </w:p>
    <w:p w14:paraId="5142E31E" w14:textId="77777777" w:rsidR="00B9646B" w:rsidRPr="008F07F7" w:rsidRDefault="00B9646B" w:rsidP="00B9646B">
      <w:pPr>
        <w:spacing w:before="8" w:line="240" w:lineRule="exact"/>
        <w:ind w:right="-54"/>
        <w:jc w:val="both"/>
        <w:rPr>
          <w:rFonts w:ascii="Calibri" w:eastAsia="Calibri" w:hAnsi="Calibri" w:cstheme="minorBidi"/>
          <w:color w:val="00173C"/>
          <w:sz w:val="21"/>
          <w:szCs w:val="21"/>
          <w:lang w:val="el-GR" w:eastAsia="el-GR" w:bidi="el-GR"/>
        </w:rPr>
      </w:pPr>
    </w:p>
    <w:p w14:paraId="5142E31F" w14:textId="77777777" w:rsidR="00B9646B" w:rsidRPr="008F07F7" w:rsidRDefault="00B9646B" w:rsidP="00B9646B">
      <w:pPr>
        <w:pStyle w:val="BodyText"/>
        <w:spacing w:line="258" w:lineRule="exact"/>
        <w:ind w:left="0" w:right="-54"/>
        <w:jc w:val="both"/>
        <w:rPr>
          <w:color w:val="00173C"/>
        </w:rPr>
      </w:pPr>
      <w:r>
        <w:rPr>
          <w:color w:val="00173C"/>
        </w:rPr>
        <w:t>Στις 23 Μαρτίου 2021 το Διοικητικό Συμβούλιο αποφάσισε την επιστροφή κεφαλαίου ύψους €0,40 ανά μετοχή σε όλους τους μετόχους που ήταν εγγεγραμμένοι στο μετοχολόγιο της Εταιρίας στις 29 Απριλίου 2021</w:t>
      </w:r>
      <w:r w:rsidR="007F7DC0" w:rsidRPr="007F7DC0">
        <w:rPr>
          <w:color w:val="00173C"/>
        </w:rPr>
        <w:t xml:space="preserve">. </w:t>
      </w:r>
      <w:proofErr w:type="spellStart"/>
      <w:r w:rsidR="007F7DC0" w:rsidRPr="008F07F7">
        <w:rPr>
          <w:color w:val="00173C"/>
        </w:rPr>
        <w:t>T</w:t>
      </w:r>
      <w:r>
        <w:rPr>
          <w:color w:val="00173C"/>
        </w:rPr>
        <w:t>ο</w:t>
      </w:r>
      <w:proofErr w:type="spellEnd"/>
      <w:r>
        <w:rPr>
          <w:color w:val="00173C"/>
        </w:rPr>
        <w:t xml:space="preserve"> αντίστοιχο ποσό καταβλήθηκε στις 2 Ιουλίου 2021.</w:t>
      </w:r>
    </w:p>
    <w:p w14:paraId="5142E320" w14:textId="77777777" w:rsidR="00B9646B" w:rsidRPr="008F07F7" w:rsidRDefault="00B9646B" w:rsidP="00B9646B">
      <w:pPr>
        <w:pStyle w:val="BodyText"/>
        <w:spacing w:before="228"/>
        <w:ind w:left="0" w:right="-54"/>
        <w:jc w:val="both"/>
        <w:rPr>
          <w:color w:val="00173C"/>
        </w:rPr>
      </w:pPr>
      <w:r>
        <w:rPr>
          <w:color w:val="00173C"/>
        </w:rPr>
        <w:t>Στις 22 Ιουνίου 2021 ολοκληρώθηκε η διαδικασία ακύρωσης ποσοστού 5% των μετοχών</w:t>
      </w:r>
      <w:r w:rsidR="009602E9">
        <w:rPr>
          <w:color w:val="00173C"/>
        </w:rPr>
        <w:t xml:space="preserve"> της TCI. Κατά συνέπεια</w:t>
      </w:r>
      <w:r>
        <w:rPr>
          <w:color w:val="00173C"/>
        </w:rPr>
        <w:t>, το μετοχικό κεφάλαιο της εταιρίας</w:t>
      </w:r>
      <w:r w:rsidR="009602E9">
        <w:rPr>
          <w:color w:val="00173C"/>
        </w:rPr>
        <w:t xml:space="preserve"> που</w:t>
      </w:r>
      <w:r>
        <w:rPr>
          <w:color w:val="00173C"/>
        </w:rPr>
        <w:t xml:space="preserve"> ανέρχεται σε €1.159.347.807,86</w:t>
      </w:r>
      <w:r w:rsidR="00CD28F2">
        <w:rPr>
          <w:color w:val="00173C"/>
        </w:rPr>
        <w:t xml:space="preserve"> κατανέμεται</w:t>
      </w:r>
      <w:r>
        <w:rPr>
          <w:color w:val="00173C"/>
        </w:rPr>
        <w:t xml:space="preserve"> σε 78.325.475 μετοχές. Στις 30 Ιουνίου 2021 η TITAN Cement Group κατείχε 1.307.520 ίδιες μετοχές που αντιστοιχούν σε ποσοστό 1,67% των συνολικών δικαιωμάτων ψήφου.</w:t>
      </w:r>
    </w:p>
    <w:p w14:paraId="5142E321" w14:textId="77777777" w:rsidR="00F575A4" w:rsidRDefault="00F575A4" w:rsidP="00B9646B">
      <w:pPr>
        <w:ind w:right="-54"/>
        <w:jc w:val="both"/>
        <w:rPr>
          <w:rFonts w:ascii="Calibri Light" w:hAnsi="Calibri Light" w:cs="Calibri"/>
          <w:sz w:val="21"/>
          <w:szCs w:val="21"/>
          <w:lang w:val="el-GR"/>
        </w:rPr>
      </w:pPr>
    </w:p>
    <w:p w14:paraId="5142E322" w14:textId="77777777" w:rsidR="00410158" w:rsidRDefault="00410158" w:rsidP="00B9646B">
      <w:pPr>
        <w:ind w:right="-54"/>
        <w:jc w:val="both"/>
        <w:rPr>
          <w:rFonts w:ascii="Calibri Light" w:hAnsi="Calibri Light" w:cs="Calibri"/>
          <w:sz w:val="21"/>
          <w:szCs w:val="21"/>
          <w:lang w:val="el-GR"/>
        </w:rPr>
      </w:pPr>
    </w:p>
    <w:p w14:paraId="5142E323" w14:textId="77777777" w:rsidR="00410158" w:rsidRDefault="00410158" w:rsidP="00B9646B">
      <w:pPr>
        <w:ind w:right="-54"/>
        <w:jc w:val="both"/>
        <w:rPr>
          <w:rFonts w:ascii="Calibri Light" w:hAnsi="Calibri Light" w:cs="Calibri"/>
          <w:sz w:val="21"/>
          <w:szCs w:val="21"/>
          <w:lang w:val="el-GR"/>
        </w:rPr>
      </w:pPr>
    </w:p>
    <w:p w14:paraId="5142E324" w14:textId="77777777" w:rsidR="00410158" w:rsidRDefault="00410158" w:rsidP="00B9646B">
      <w:pPr>
        <w:ind w:right="-54"/>
        <w:jc w:val="both"/>
        <w:rPr>
          <w:rFonts w:ascii="Calibri Light" w:hAnsi="Calibri Light" w:cs="Calibri"/>
          <w:sz w:val="21"/>
          <w:szCs w:val="21"/>
          <w:lang w:val="el-GR"/>
        </w:rPr>
      </w:pPr>
    </w:p>
    <w:p w14:paraId="5142E325" w14:textId="77777777" w:rsidR="00410158" w:rsidRDefault="00410158" w:rsidP="00B9646B">
      <w:pPr>
        <w:ind w:right="-54"/>
        <w:jc w:val="both"/>
        <w:rPr>
          <w:rFonts w:ascii="Calibri Light" w:hAnsi="Calibri Light" w:cs="Calibri"/>
          <w:sz w:val="21"/>
          <w:szCs w:val="21"/>
          <w:lang w:val="el-GR"/>
        </w:rPr>
      </w:pPr>
    </w:p>
    <w:p w14:paraId="5142E326" w14:textId="77777777" w:rsidR="00410158" w:rsidRDefault="00410158" w:rsidP="00B9646B">
      <w:pPr>
        <w:ind w:right="-54"/>
        <w:jc w:val="both"/>
        <w:rPr>
          <w:rFonts w:ascii="Calibri Light" w:hAnsi="Calibri Light" w:cs="Calibri"/>
          <w:sz w:val="21"/>
          <w:szCs w:val="21"/>
          <w:lang w:val="el-GR"/>
        </w:rPr>
      </w:pPr>
    </w:p>
    <w:p w14:paraId="5142E327" w14:textId="77777777" w:rsidR="00410158" w:rsidRDefault="00410158" w:rsidP="00B9646B">
      <w:pPr>
        <w:ind w:right="-54"/>
        <w:jc w:val="both"/>
        <w:rPr>
          <w:rFonts w:ascii="Calibri Light" w:hAnsi="Calibri Light" w:cs="Calibri"/>
          <w:sz w:val="21"/>
          <w:szCs w:val="21"/>
          <w:lang w:val="el-GR"/>
        </w:rPr>
      </w:pPr>
    </w:p>
    <w:p w14:paraId="5142E328" w14:textId="77777777" w:rsidR="00410158" w:rsidRDefault="00410158" w:rsidP="00B9646B">
      <w:pPr>
        <w:ind w:right="-54"/>
        <w:jc w:val="both"/>
        <w:rPr>
          <w:rFonts w:ascii="Calibri Light" w:hAnsi="Calibri Light" w:cs="Calibri"/>
          <w:sz w:val="21"/>
          <w:szCs w:val="21"/>
          <w:lang w:val="el-GR"/>
        </w:rPr>
      </w:pPr>
    </w:p>
    <w:p w14:paraId="5142E329" w14:textId="77777777" w:rsidR="00410158" w:rsidRDefault="00410158" w:rsidP="00B9646B">
      <w:pPr>
        <w:ind w:right="-54"/>
        <w:jc w:val="both"/>
        <w:rPr>
          <w:rFonts w:ascii="Calibri Light" w:hAnsi="Calibri Light" w:cs="Calibri"/>
          <w:sz w:val="21"/>
          <w:szCs w:val="21"/>
          <w:lang w:val="el-GR"/>
        </w:rPr>
      </w:pPr>
    </w:p>
    <w:p w14:paraId="5142E32A" w14:textId="77777777" w:rsidR="00410158" w:rsidRDefault="00410158" w:rsidP="00B9646B">
      <w:pPr>
        <w:ind w:right="-54"/>
        <w:jc w:val="both"/>
        <w:rPr>
          <w:rFonts w:ascii="Calibri Light" w:hAnsi="Calibri Light" w:cs="Calibri"/>
          <w:sz w:val="21"/>
          <w:szCs w:val="21"/>
          <w:lang w:val="el-GR"/>
        </w:rPr>
      </w:pPr>
    </w:p>
    <w:p w14:paraId="5142E32B" w14:textId="77777777" w:rsidR="00410158" w:rsidRDefault="00410158" w:rsidP="00B9646B">
      <w:pPr>
        <w:ind w:right="-54"/>
        <w:jc w:val="both"/>
        <w:rPr>
          <w:rFonts w:ascii="Calibri Light" w:hAnsi="Calibri Light" w:cs="Calibri"/>
          <w:sz w:val="21"/>
          <w:szCs w:val="21"/>
          <w:lang w:val="el-GR"/>
        </w:rPr>
      </w:pPr>
    </w:p>
    <w:p w14:paraId="5142E32C" w14:textId="75017F52" w:rsidR="00410158" w:rsidRDefault="00410158" w:rsidP="00B9646B">
      <w:pPr>
        <w:ind w:right="-54"/>
        <w:jc w:val="both"/>
        <w:rPr>
          <w:rFonts w:ascii="Calibri Light" w:hAnsi="Calibri Light" w:cs="Calibri"/>
          <w:sz w:val="21"/>
          <w:szCs w:val="21"/>
          <w:lang w:val="el-GR"/>
        </w:rPr>
      </w:pPr>
    </w:p>
    <w:p w14:paraId="557E6ABE" w14:textId="77777777" w:rsidR="00DB0DFC" w:rsidRDefault="00DB0DFC" w:rsidP="00B9646B">
      <w:pPr>
        <w:ind w:right="-54"/>
        <w:jc w:val="both"/>
        <w:rPr>
          <w:rFonts w:ascii="Calibri Light" w:hAnsi="Calibri Light" w:cs="Calibri"/>
          <w:sz w:val="21"/>
          <w:szCs w:val="21"/>
          <w:lang w:val="el-GR"/>
        </w:rPr>
      </w:pPr>
    </w:p>
    <w:p w14:paraId="5142E32D" w14:textId="77777777" w:rsidR="00410158" w:rsidRDefault="00410158" w:rsidP="00B9646B">
      <w:pPr>
        <w:ind w:right="-54"/>
        <w:jc w:val="both"/>
        <w:rPr>
          <w:rFonts w:ascii="Calibri Light" w:hAnsi="Calibri Light" w:cs="Calibri"/>
          <w:sz w:val="21"/>
          <w:szCs w:val="21"/>
          <w:lang w:val="el-GR"/>
        </w:rPr>
      </w:pPr>
    </w:p>
    <w:p w14:paraId="5142E32E" w14:textId="77777777" w:rsidR="00410158" w:rsidRDefault="00410158" w:rsidP="00B9646B">
      <w:pPr>
        <w:ind w:right="-54"/>
        <w:jc w:val="both"/>
        <w:rPr>
          <w:rFonts w:ascii="Calibri Light" w:hAnsi="Calibri Light" w:cs="Calibri"/>
          <w:sz w:val="21"/>
          <w:szCs w:val="21"/>
          <w:lang w:val="el-GR"/>
        </w:rPr>
      </w:pPr>
    </w:p>
    <w:p w14:paraId="5142E32F" w14:textId="77777777" w:rsidR="00410158" w:rsidRDefault="00410158" w:rsidP="00B9646B">
      <w:pPr>
        <w:ind w:right="-54"/>
        <w:jc w:val="both"/>
        <w:rPr>
          <w:rFonts w:ascii="Calibri Light" w:hAnsi="Calibri Light" w:cs="Calibri"/>
          <w:sz w:val="21"/>
          <w:szCs w:val="21"/>
          <w:lang w:val="el-GR"/>
        </w:rPr>
      </w:pPr>
    </w:p>
    <w:p w14:paraId="5142E333" w14:textId="77777777" w:rsidR="00F575A4" w:rsidRPr="0018547A" w:rsidRDefault="00F575A4" w:rsidP="00F575A4">
      <w:pPr>
        <w:pStyle w:val="C"/>
        <w:spacing w:line="240" w:lineRule="auto"/>
        <w:jc w:val="both"/>
        <w:rPr>
          <w:rFonts w:eastAsia="Calibri" w:cs="Calibri"/>
          <w:noProof/>
          <w:lang w:val="el-GR"/>
        </w:rPr>
      </w:pPr>
      <w:r>
        <w:rPr>
          <w:rFonts w:eastAsia="Calibri" w:cs="Calibri"/>
          <w:noProof/>
          <w:lang w:val="en-US"/>
        </w:rPr>
        <w:lastRenderedPageBreak/>
        <mc:AlternateContent>
          <mc:Choice Requires="wps">
            <w:drawing>
              <wp:anchor distT="0" distB="0" distL="114300" distR="114300" simplePos="0" relativeHeight="251658255" behindDoc="0" locked="0" layoutInCell="1" allowOverlap="1" wp14:anchorId="5142E64C" wp14:editId="5142E64D">
                <wp:simplePos x="0" y="0"/>
                <wp:positionH relativeFrom="column">
                  <wp:posOffset>2209</wp:posOffset>
                </wp:positionH>
                <wp:positionV relativeFrom="paragraph">
                  <wp:posOffset>227074</wp:posOffset>
                </wp:positionV>
                <wp:extent cx="6112446" cy="0"/>
                <wp:effectExtent l="0" t="0" r="9525" b="12700"/>
                <wp:wrapNone/>
                <wp:docPr id="76" name="Straight Connector 76"/>
                <wp:cNvGraphicFramePr/>
                <a:graphic xmlns:a="http://schemas.openxmlformats.org/drawingml/2006/main">
                  <a:graphicData uri="http://schemas.microsoft.com/office/word/2010/wordprocessingShape">
                    <wps:wsp>
                      <wps:cNvCnPr/>
                      <wps:spPr>
                        <a:xfrm>
                          <a:off x="0" y="0"/>
                          <a:ext cx="6112446"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05D6E5C9" id="Straight Connector 76" o:spid="_x0000_s1026" style="position:absolute;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7.9pt" to="481.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" strokecolor="#00183d" strokeweight=".25pt"/>
            </w:pict>
          </mc:Fallback>
        </mc:AlternateContent>
      </w:r>
      <w:r w:rsidRPr="0018547A">
        <w:rPr>
          <w:lang w:val="el-GR"/>
        </w:rPr>
        <w:t xml:space="preserve">Οικονομικά Αποτελέσματα </w:t>
      </w:r>
      <w:r>
        <w:rPr>
          <w:lang w:val="el-GR"/>
        </w:rPr>
        <w:t>Β’ Τ</w:t>
      </w:r>
      <w:r w:rsidR="00B9646B">
        <w:rPr>
          <w:lang w:val="el-GR"/>
        </w:rPr>
        <w:t>ριμήνου 2021</w:t>
      </w:r>
      <w:r w:rsidRPr="0018547A">
        <w:rPr>
          <w:lang w:val="el-GR"/>
        </w:rPr>
        <w:tab/>
      </w:r>
    </w:p>
    <w:p w14:paraId="5142E334" w14:textId="77777777" w:rsidR="00B9646B" w:rsidRPr="00B9646B" w:rsidRDefault="00B13EAA" w:rsidP="00B9646B">
      <w:pPr>
        <w:widowControl w:val="0"/>
        <w:spacing w:before="197"/>
        <w:ind w:right="-234"/>
        <w:jc w:val="both"/>
        <w:rPr>
          <w:rFonts w:ascii="Calibri" w:eastAsia="Calibri" w:hAnsi="Calibri" w:cstheme="minorBidi"/>
          <w:color w:val="00173C"/>
          <w:sz w:val="21"/>
          <w:szCs w:val="21"/>
          <w:lang w:val="el-GR" w:eastAsia="el-GR" w:bidi="el-GR"/>
        </w:rPr>
      </w:pPr>
      <w:r>
        <w:rPr>
          <w:rFonts w:ascii="Calibri" w:eastAsia="Calibri" w:hAnsi="Calibri" w:cstheme="minorBidi"/>
          <w:color w:val="00173C"/>
          <w:sz w:val="21"/>
          <w:szCs w:val="21"/>
          <w:lang w:val="el-GR" w:eastAsia="el-GR" w:bidi="el-GR"/>
        </w:rPr>
        <w:t xml:space="preserve">Οι επιδόσεις </w:t>
      </w:r>
      <w:r w:rsidR="00B9646B" w:rsidRPr="00B9646B">
        <w:rPr>
          <w:rFonts w:ascii="Calibri" w:eastAsia="Calibri" w:hAnsi="Calibri" w:cstheme="minorBidi"/>
          <w:color w:val="00173C"/>
          <w:sz w:val="21"/>
          <w:szCs w:val="21"/>
          <w:lang w:val="el-GR" w:eastAsia="el-GR" w:bidi="el-GR"/>
        </w:rPr>
        <w:t>το</w:t>
      </w:r>
      <w:r>
        <w:rPr>
          <w:rFonts w:ascii="Calibri" w:eastAsia="Calibri" w:hAnsi="Calibri" w:cstheme="minorBidi"/>
          <w:color w:val="00173C"/>
          <w:sz w:val="21"/>
          <w:szCs w:val="21"/>
          <w:lang w:val="el-GR" w:eastAsia="el-GR" w:bidi="el-GR"/>
        </w:rPr>
        <w:t>υ</w:t>
      </w:r>
      <w:r w:rsidR="00B9646B" w:rsidRPr="00B9646B">
        <w:rPr>
          <w:rFonts w:ascii="Calibri" w:eastAsia="Calibri" w:hAnsi="Calibri" w:cstheme="minorBidi"/>
          <w:color w:val="00173C"/>
          <w:sz w:val="21"/>
          <w:szCs w:val="21"/>
          <w:lang w:val="el-GR" w:eastAsia="el-GR" w:bidi="el-GR"/>
        </w:rPr>
        <w:t xml:space="preserve"> δεύ</w:t>
      </w:r>
      <w:r>
        <w:rPr>
          <w:rFonts w:ascii="Calibri" w:eastAsia="Calibri" w:hAnsi="Calibri" w:cstheme="minorBidi"/>
          <w:color w:val="00173C"/>
          <w:sz w:val="21"/>
          <w:szCs w:val="21"/>
          <w:lang w:val="el-GR" w:eastAsia="el-GR" w:bidi="el-GR"/>
        </w:rPr>
        <w:t>τερου τριμήνου κατέδειξαν</w:t>
      </w:r>
      <w:r w:rsidR="00B9646B" w:rsidRPr="00B9646B">
        <w:rPr>
          <w:rFonts w:ascii="Calibri" w:eastAsia="Calibri" w:hAnsi="Calibri" w:cstheme="minorBidi"/>
          <w:color w:val="00173C"/>
          <w:sz w:val="21"/>
          <w:szCs w:val="21"/>
          <w:lang w:val="el-GR" w:eastAsia="el-GR" w:bidi="el-GR"/>
        </w:rPr>
        <w:t xml:space="preserve"> περαιτέρω τη θετική επίδραση </w:t>
      </w:r>
      <w:r>
        <w:rPr>
          <w:rFonts w:ascii="Calibri" w:eastAsia="Calibri" w:hAnsi="Calibri" w:cstheme="minorBidi"/>
          <w:color w:val="00173C"/>
          <w:sz w:val="21"/>
          <w:szCs w:val="21"/>
          <w:lang w:val="el-GR" w:eastAsia="el-GR" w:bidi="el-GR"/>
        </w:rPr>
        <w:t xml:space="preserve">από </w:t>
      </w:r>
      <w:r w:rsidR="00B9646B" w:rsidRPr="00B9646B">
        <w:rPr>
          <w:rFonts w:ascii="Calibri" w:eastAsia="Calibri" w:hAnsi="Calibri" w:cstheme="minorBidi"/>
          <w:color w:val="00173C"/>
          <w:sz w:val="21"/>
          <w:szCs w:val="21"/>
          <w:lang w:val="el-GR" w:eastAsia="el-GR" w:bidi="el-GR"/>
        </w:rPr>
        <w:t xml:space="preserve">τα </w:t>
      </w:r>
      <w:r w:rsidR="0012626B">
        <w:rPr>
          <w:rFonts w:ascii="Calibri" w:eastAsia="Calibri" w:hAnsi="Calibri" w:cstheme="minorBidi"/>
          <w:color w:val="00173C"/>
          <w:sz w:val="21"/>
          <w:szCs w:val="21"/>
          <w:lang w:val="el-GR" w:eastAsia="el-GR" w:bidi="el-GR"/>
        </w:rPr>
        <w:t>βελτιωμένα θεμελιώδη μεγέθη</w:t>
      </w:r>
      <w:r w:rsidR="00B9646B" w:rsidRPr="00B9646B">
        <w:rPr>
          <w:rFonts w:ascii="Calibri" w:eastAsia="Calibri" w:hAnsi="Calibri" w:cstheme="minorBidi"/>
          <w:color w:val="00173C"/>
          <w:sz w:val="21"/>
          <w:szCs w:val="21"/>
          <w:lang w:val="el-GR" w:eastAsia="el-GR" w:bidi="el-GR"/>
        </w:rPr>
        <w:t xml:space="preserve"> </w:t>
      </w:r>
      <w:r>
        <w:rPr>
          <w:rFonts w:ascii="Calibri" w:eastAsia="Calibri" w:hAnsi="Calibri" w:cstheme="minorBidi"/>
          <w:color w:val="00173C"/>
          <w:sz w:val="21"/>
          <w:szCs w:val="21"/>
          <w:lang w:val="el-GR" w:eastAsia="el-GR" w:bidi="el-GR"/>
        </w:rPr>
        <w:t>των αγορών</w:t>
      </w:r>
      <w:r w:rsidR="00B9646B" w:rsidRPr="00B9646B">
        <w:rPr>
          <w:rFonts w:ascii="Calibri" w:eastAsia="Calibri" w:hAnsi="Calibri" w:cstheme="minorBidi"/>
          <w:color w:val="00173C"/>
          <w:sz w:val="21"/>
          <w:szCs w:val="21"/>
          <w:lang w:val="el-GR" w:eastAsia="el-GR" w:bidi="el-GR"/>
        </w:rPr>
        <w:t xml:space="preserve">, την αποκατάσταση του κλίματος εμπιστοσύνης και τη συσσωρευμένη ζήτηση. Όπως αναφέρθηκε </w:t>
      </w:r>
      <w:r w:rsidR="0025262B">
        <w:rPr>
          <w:rFonts w:ascii="Calibri" w:eastAsia="Calibri" w:hAnsi="Calibri" w:cstheme="minorBidi"/>
          <w:color w:val="00173C"/>
          <w:sz w:val="21"/>
          <w:szCs w:val="21"/>
          <w:lang w:val="el-GR" w:eastAsia="el-GR" w:bidi="el-GR"/>
        </w:rPr>
        <w:t>στην</w:t>
      </w:r>
      <w:r w:rsidR="00B9646B" w:rsidRPr="00B9646B">
        <w:rPr>
          <w:rFonts w:ascii="Calibri" w:eastAsia="Calibri" w:hAnsi="Calibri" w:cstheme="minorBidi"/>
          <w:color w:val="00173C"/>
          <w:sz w:val="21"/>
          <w:szCs w:val="21"/>
          <w:lang w:val="el-GR" w:eastAsia="el-GR" w:bidi="el-GR"/>
        </w:rPr>
        <w:t xml:space="preserve"> ανακοίνωση των αποτελεσμάτων του πρώτου τριμήνου του 2021, τα λειτουργικά κέρδη (EBITDA) του δεύτερου τριμήνου του 2021 θα ήταν κατά περίπου </w:t>
      </w:r>
      <w:r w:rsidR="003131DF" w:rsidRPr="003131DF">
        <w:rPr>
          <w:rFonts w:ascii="Calibri" w:eastAsia="Calibri" w:hAnsi="Calibri" w:cstheme="minorBidi"/>
          <w:color w:val="00173C"/>
          <w:sz w:val="21"/>
          <w:szCs w:val="21"/>
          <w:lang w:val="el-GR" w:eastAsia="el-GR" w:bidi="el-GR"/>
        </w:rPr>
        <w:t>€</w:t>
      </w:r>
      <w:r w:rsidR="00B9646B" w:rsidRPr="00B9646B">
        <w:rPr>
          <w:rFonts w:ascii="Calibri" w:eastAsia="Calibri" w:hAnsi="Calibri" w:cstheme="minorBidi"/>
          <w:color w:val="00173C"/>
          <w:sz w:val="21"/>
          <w:szCs w:val="21"/>
          <w:lang w:val="el-GR" w:eastAsia="el-GR" w:bidi="el-GR"/>
        </w:rPr>
        <w:t>10 εκ. υψηλότερα</w:t>
      </w:r>
      <w:r w:rsidR="0025262B">
        <w:rPr>
          <w:rFonts w:ascii="Calibri" w:eastAsia="Calibri" w:hAnsi="Calibri" w:cstheme="minorBidi"/>
          <w:color w:val="00173C"/>
          <w:sz w:val="21"/>
          <w:szCs w:val="21"/>
          <w:lang w:val="el-GR" w:eastAsia="el-GR" w:bidi="el-GR"/>
        </w:rPr>
        <w:t xml:space="preserve"> εάν το </w:t>
      </w:r>
      <w:r w:rsidR="00B9646B" w:rsidRPr="00B9646B">
        <w:rPr>
          <w:rFonts w:ascii="Calibri" w:eastAsia="Calibri" w:hAnsi="Calibri" w:cstheme="minorBidi"/>
          <w:color w:val="00173C"/>
          <w:sz w:val="21"/>
          <w:szCs w:val="21"/>
          <w:lang w:val="el-GR" w:eastAsia="el-GR" w:bidi="el-GR"/>
        </w:rPr>
        <w:t xml:space="preserve">εκτιμώμενο κόστος συντήρησης </w:t>
      </w:r>
      <w:r w:rsidR="0025262B">
        <w:rPr>
          <w:rFonts w:ascii="Calibri" w:eastAsia="Calibri" w:hAnsi="Calibri" w:cstheme="minorBidi"/>
          <w:color w:val="00173C"/>
          <w:sz w:val="21"/>
          <w:szCs w:val="21"/>
          <w:lang w:val="el-GR" w:eastAsia="el-GR" w:bidi="el-GR"/>
        </w:rPr>
        <w:t xml:space="preserve">δεν είχε μετατεθεί στο </w:t>
      </w:r>
      <w:r w:rsidR="00B9646B" w:rsidRPr="00B9646B">
        <w:rPr>
          <w:rFonts w:ascii="Calibri" w:eastAsia="Calibri" w:hAnsi="Calibri" w:cstheme="minorBidi"/>
          <w:color w:val="00173C"/>
          <w:sz w:val="21"/>
          <w:szCs w:val="21"/>
          <w:lang w:val="el-GR" w:eastAsia="el-GR" w:bidi="el-GR"/>
        </w:rPr>
        <w:t>δεύτερο τρίμηνο του τρέχοντος έτους.</w:t>
      </w:r>
    </w:p>
    <w:p w14:paraId="5142E335" w14:textId="77777777" w:rsidR="00B9646B" w:rsidRPr="00B9646B" w:rsidRDefault="00B9646B" w:rsidP="00B9646B">
      <w:pPr>
        <w:widowControl w:val="0"/>
        <w:spacing w:before="10" w:line="190" w:lineRule="exact"/>
        <w:ind w:right="-234"/>
        <w:rPr>
          <w:rFonts w:ascii="Calibri" w:eastAsia="Calibri" w:hAnsi="Calibri" w:cstheme="minorBidi"/>
          <w:color w:val="00173C"/>
          <w:sz w:val="21"/>
          <w:szCs w:val="21"/>
          <w:lang w:val="el-GR" w:eastAsia="el-GR" w:bidi="el-GR"/>
        </w:rPr>
      </w:pPr>
    </w:p>
    <w:p w14:paraId="5142E336" w14:textId="2B6BF5F7" w:rsidR="00B9646B" w:rsidRPr="00B9646B" w:rsidRDefault="00A27EF5" w:rsidP="00B9646B">
      <w:pPr>
        <w:widowControl w:val="0"/>
        <w:ind w:right="-234"/>
        <w:jc w:val="both"/>
        <w:rPr>
          <w:rFonts w:ascii="Calibri" w:eastAsia="Calibri" w:hAnsi="Calibri" w:cstheme="minorBidi"/>
          <w:color w:val="00173C"/>
          <w:sz w:val="21"/>
          <w:szCs w:val="21"/>
          <w:lang w:val="el-GR" w:eastAsia="el-GR" w:bidi="el-GR"/>
        </w:rPr>
      </w:pPr>
      <w:r>
        <w:rPr>
          <w:rFonts w:ascii="Calibri" w:eastAsia="Calibri" w:hAnsi="Calibri" w:cstheme="minorBidi"/>
          <w:color w:val="00173C"/>
          <w:sz w:val="21"/>
          <w:szCs w:val="21"/>
          <w:lang w:eastAsia="el-GR" w:bidi="el-GR"/>
        </w:rPr>
        <w:t>T</w:t>
      </w:r>
      <w:r w:rsidR="00B9646B" w:rsidRPr="00B9646B">
        <w:rPr>
          <w:rFonts w:ascii="Calibri" w:eastAsia="Calibri" w:hAnsi="Calibri" w:cstheme="minorBidi"/>
          <w:color w:val="00173C"/>
          <w:sz w:val="21"/>
          <w:szCs w:val="21"/>
          <w:lang w:val="el-GR" w:eastAsia="el-GR" w:bidi="el-GR"/>
        </w:rPr>
        <w:t xml:space="preserve">ο δεύτερο τρίμηνο του 2021 ο ενοποιημένος κύκλος εργασιών του Ομίλου </w:t>
      </w:r>
      <w:r w:rsidR="003131DF">
        <w:rPr>
          <w:rFonts w:ascii="Calibri" w:eastAsia="Calibri" w:hAnsi="Calibri" w:cstheme="minorBidi"/>
          <w:color w:val="00173C"/>
          <w:sz w:val="21"/>
          <w:szCs w:val="21"/>
          <w:lang w:val="el-GR" w:eastAsia="el-GR" w:bidi="el-GR"/>
        </w:rPr>
        <w:t>σημείωσε αύξηση 12,2</w:t>
      </w:r>
      <w:r w:rsidR="00B9646B" w:rsidRPr="00B9646B">
        <w:rPr>
          <w:rFonts w:ascii="Calibri" w:eastAsia="Calibri" w:hAnsi="Calibri" w:cstheme="minorBidi"/>
          <w:color w:val="00173C"/>
          <w:sz w:val="21"/>
          <w:szCs w:val="21"/>
          <w:lang w:val="el-GR" w:eastAsia="el-GR" w:bidi="el-GR"/>
        </w:rPr>
        <w:t xml:space="preserve">% σε σύγκριση με το δεύτερο τρίμηνο </w:t>
      </w:r>
      <w:r w:rsidR="003131DF">
        <w:rPr>
          <w:rFonts w:ascii="Calibri" w:eastAsia="Calibri" w:hAnsi="Calibri" w:cstheme="minorBidi"/>
          <w:color w:val="00173C"/>
          <w:sz w:val="21"/>
          <w:szCs w:val="21"/>
          <w:lang w:val="el-GR" w:eastAsia="el-GR" w:bidi="el-GR"/>
        </w:rPr>
        <w:t>του 2020 και διαμορφώθηκε στα €450,3</w:t>
      </w:r>
      <w:r w:rsidR="00B9646B" w:rsidRPr="00B9646B">
        <w:rPr>
          <w:rFonts w:ascii="Calibri" w:eastAsia="Calibri" w:hAnsi="Calibri" w:cstheme="minorBidi"/>
          <w:color w:val="00173C"/>
          <w:sz w:val="21"/>
          <w:szCs w:val="21"/>
          <w:lang w:val="el-GR" w:eastAsia="el-GR" w:bidi="el-GR"/>
        </w:rPr>
        <w:t xml:space="preserve"> εκ. Τα λειτουργικά</w:t>
      </w:r>
      <w:r w:rsidR="003131DF">
        <w:rPr>
          <w:rFonts w:ascii="Calibri" w:eastAsia="Calibri" w:hAnsi="Calibri" w:cstheme="minorBidi"/>
          <w:color w:val="00173C"/>
          <w:sz w:val="21"/>
          <w:szCs w:val="21"/>
          <w:lang w:val="el-GR" w:eastAsia="el-GR" w:bidi="el-GR"/>
        </w:rPr>
        <w:t xml:space="preserve"> κέρδη (EBITDA) μειώθηκαν κατά 10</w:t>
      </w:r>
      <w:r w:rsidR="00200977" w:rsidRPr="00200977">
        <w:rPr>
          <w:rFonts w:ascii="Calibri" w:eastAsia="Calibri" w:hAnsi="Calibri" w:cstheme="minorBidi"/>
          <w:color w:val="00173C"/>
          <w:sz w:val="21"/>
          <w:szCs w:val="21"/>
          <w:lang w:val="el-GR" w:eastAsia="el-GR" w:bidi="el-GR"/>
        </w:rPr>
        <w:t>,1</w:t>
      </w:r>
      <w:r w:rsidR="00B9646B" w:rsidRPr="00B9646B">
        <w:rPr>
          <w:rFonts w:ascii="Calibri" w:eastAsia="Calibri" w:hAnsi="Calibri" w:cstheme="minorBidi"/>
          <w:color w:val="00173C"/>
          <w:sz w:val="21"/>
          <w:szCs w:val="21"/>
          <w:lang w:val="el-GR" w:eastAsia="el-GR" w:bidi="el-GR"/>
        </w:rPr>
        <w:t xml:space="preserve">%, κυρίως λόγω της αναβολής της αναστολής λειτουργίας του εργοστασίου στο </w:t>
      </w:r>
      <w:proofErr w:type="spellStart"/>
      <w:r w:rsidR="00B9646B" w:rsidRPr="00B9646B">
        <w:rPr>
          <w:rFonts w:ascii="Calibri" w:eastAsia="Calibri" w:hAnsi="Calibri" w:cstheme="minorBidi"/>
          <w:color w:val="00173C"/>
          <w:sz w:val="21"/>
          <w:szCs w:val="21"/>
          <w:lang w:val="el-GR" w:eastAsia="el-GR" w:bidi="el-GR"/>
        </w:rPr>
        <w:t>Pennsuco</w:t>
      </w:r>
      <w:proofErr w:type="spellEnd"/>
      <w:r w:rsidR="00B9646B" w:rsidRPr="00B9646B">
        <w:rPr>
          <w:rFonts w:ascii="Calibri" w:eastAsia="Calibri" w:hAnsi="Calibri" w:cstheme="minorBidi"/>
          <w:color w:val="00173C"/>
          <w:sz w:val="21"/>
          <w:szCs w:val="21"/>
          <w:lang w:val="el-GR" w:eastAsia="el-GR" w:bidi="el-GR"/>
        </w:rPr>
        <w:t xml:space="preserve"> στις ΗΠΑ και της μετάθεσης των συναφών δαπανών στο δεύτερο τρίμηνο του 2021 αντί του πρώτου τριμήνου </w:t>
      </w:r>
      <w:r w:rsidR="00A349E7">
        <w:rPr>
          <w:rFonts w:ascii="Calibri" w:eastAsia="Calibri" w:hAnsi="Calibri" w:cstheme="minorBidi"/>
          <w:color w:val="00173C"/>
          <w:sz w:val="21"/>
          <w:szCs w:val="21"/>
          <w:lang w:val="el-GR" w:eastAsia="el-GR" w:bidi="el-GR"/>
        </w:rPr>
        <w:t>το</w:t>
      </w:r>
      <w:r w:rsidR="00B9646B" w:rsidRPr="00B9646B">
        <w:rPr>
          <w:rFonts w:ascii="Calibri" w:eastAsia="Calibri" w:hAnsi="Calibri" w:cstheme="minorBidi"/>
          <w:color w:val="00173C"/>
          <w:sz w:val="21"/>
          <w:szCs w:val="21"/>
          <w:lang w:val="el-GR" w:eastAsia="el-GR" w:bidi="el-GR"/>
        </w:rPr>
        <w:t xml:space="preserve"> 2020, αλλά και λόγω της αύξησης των τιμών ενέργειας και  ναύλων που είχ</w:t>
      </w:r>
      <w:r w:rsidR="003673D2">
        <w:rPr>
          <w:rFonts w:ascii="Calibri" w:eastAsia="Calibri" w:hAnsi="Calibri" w:cstheme="minorBidi"/>
          <w:color w:val="00173C"/>
          <w:sz w:val="21"/>
          <w:szCs w:val="21"/>
          <w:lang w:val="el-GR" w:eastAsia="el-GR" w:bidi="el-GR"/>
        </w:rPr>
        <w:t>αν</w:t>
      </w:r>
      <w:r w:rsidR="00B9646B" w:rsidRPr="00B9646B">
        <w:rPr>
          <w:rFonts w:ascii="Calibri" w:eastAsia="Calibri" w:hAnsi="Calibri" w:cstheme="minorBidi"/>
          <w:color w:val="00173C"/>
          <w:sz w:val="21"/>
          <w:szCs w:val="21"/>
          <w:lang w:val="el-GR" w:eastAsia="el-GR" w:bidi="el-GR"/>
        </w:rPr>
        <w:t xml:space="preserve"> αντίκτυπο σε διάφορες </w:t>
      </w:r>
      <w:r w:rsidR="00D8224F">
        <w:rPr>
          <w:rFonts w:ascii="Calibri" w:eastAsia="Calibri" w:hAnsi="Calibri" w:cstheme="minorBidi"/>
          <w:color w:val="00173C"/>
          <w:sz w:val="21"/>
          <w:szCs w:val="21"/>
          <w:lang w:val="el-GR" w:eastAsia="el-GR" w:bidi="el-GR"/>
        </w:rPr>
        <w:t xml:space="preserve">γεωγραφικές </w:t>
      </w:r>
      <w:r w:rsidR="00B9646B" w:rsidRPr="00B9646B">
        <w:rPr>
          <w:rFonts w:ascii="Calibri" w:eastAsia="Calibri" w:hAnsi="Calibri" w:cstheme="minorBidi"/>
          <w:color w:val="00173C"/>
          <w:sz w:val="21"/>
          <w:szCs w:val="21"/>
          <w:lang w:val="el-GR" w:eastAsia="el-GR" w:bidi="el-GR"/>
        </w:rPr>
        <w:t>περιοχές. Τα καθαρά κέρδη μετά από φόρους (NPAT) για το τρίμηνο διαμορφώθηκαν στα €</w:t>
      </w:r>
      <w:r w:rsidR="003131DF" w:rsidRPr="003131DF">
        <w:rPr>
          <w:rFonts w:ascii="Calibri" w:eastAsia="Calibri" w:hAnsi="Calibri" w:cstheme="minorBidi"/>
          <w:color w:val="00173C"/>
          <w:sz w:val="21"/>
          <w:szCs w:val="21"/>
          <w:lang w:val="el-GR" w:eastAsia="el-GR" w:bidi="el-GR"/>
        </w:rPr>
        <w:t>42,</w:t>
      </w:r>
      <w:r w:rsidR="0012626B" w:rsidRPr="0012626B">
        <w:rPr>
          <w:rFonts w:ascii="Calibri" w:eastAsia="Calibri" w:hAnsi="Calibri" w:cstheme="minorBidi"/>
          <w:color w:val="00173C"/>
          <w:sz w:val="21"/>
          <w:szCs w:val="21"/>
          <w:lang w:val="el-GR" w:eastAsia="el-GR" w:bidi="el-GR"/>
        </w:rPr>
        <w:t>7</w:t>
      </w:r>
      <w:r w:rsidR="00B9646B" w:rsidRPr="00B9646B">
        <w:rPr>
          <w:rFonts w:ascii="Calibri" w:eastAsia="Calibri" w:hAnsi="Calibri" w:cstheme="minorBidi"/>
          <w:color w:val="00173C"/>
          <w:sz w:val="21"/>
          <w:szCs w:val="21"/>
          <w:lang w:val="el-GR" w:eastAsia="el-GR" w:bidi="el-GR"/>
        </w:rPr>
        <w:t xml:space="preserve"> εκ</w:t>
      </w:r>
      <w:r w:rsidR="003131DF">
        <w:rPr>
          <w:rFonts w:ascii="Calibri" w:eastAsia="Calibri" w:hAnsi="Calibri" w:cstheme="minorBidi"/>
          <w:color w:val="00173C"/>
          <w:sz w:val="21"/>
          <w:szCs w:val="21"/>
          <w:lang w:val="el-GR" w:eastAsia="el-GR" w:bidi="el-GR"/>
        </w:rPr>
        <w:t>., σε σύγκριση με €38,2</w:t>
      </w:r>
      <w:r w:rsidR="00B9646B" w:rsidRPr="00B9646B">
        <w:rPr>
          <w:rFonts w:ascii="Calibri" w:eastAsia="Calibri" w:hAnsi="Calibri" w:cstheme="minorBidi"/>
          <w:color w:val="00173C"/>
          <w:sz w:val="21"/>
          <w:szCs w:val="21"/>
          <w:lang w:val="el-GR" w:eastAsia="el-GR" w:bidi="el-GR"/>
        </w:rPr>
        <w:t xml:space="preserve"> εκ. κατά το δεύτερο τρίμηνο του 2020.</w:t>
      </w:r>
    </w:p>
    <w:p w14:paraId="5142E337" w14:textId="77777777" w:rsidR="00F575A4" w:rsidRDefault="00F575A4" w:rsidP="00B9646B">
      <w:pPr>
        <w:pStyle w:val="C"/>
        <w:spacing w:line="240" w:lineRule="auto"/>
        <w:jc w:val="both"/>
        <w:rPr>
          <w:rFonts w:eastAsia="Calibri" w:cstheme="minorBidi"/>
          <w:b w:val="0"/>
          <w:bCs w:val="0"/>
          <w:color w:val="00173C"/>
          <w:sz w:val="21"/>
          <w:szCs w:val="21"/>
          <w:lang w:val="el-GR" w:eastAsia="el-GR" w:bidi="el-GR"/>
        </w:rPr>
      </w:pPr>
    </w:p>
    <w:p w14:paraId="5142E338" w14:textId="77777777" w:rsidR="00AF368F" w:rsidRPr="00E6380C" w:rsidRDefault="00AF368F" w:rsidP="00B9646B">
      <w:pPr>
        <w:pStyle w:val="C"/>
        <w:spacing w:line="240" w:lineRule="auto"/>
        <w:jc w:val="both"/>
        <w:rPr>
          <w:rFonts w:eastAsia="Calibri" w:cstheme="minorBidi"/>
          <w:b w:val="0"/>
          <w:bCs w:val="0"/>
          <w:color w:val="00173C"/>
          <w:sz w:val="21"/>
          <w:szCs w:val="21"/>
          <w:lang w:val="el-GR" w:eastAsia="el-GR" w:bidi="el-GR"/>
        </w:rPr>
      </w:pPr>
    </w:p>
    <w:tbl>
      <w:tblPr>
        <w:tblW w:w="9498" w:type="dxa"/>
        <w:tblLook w:val="04A0" w:firstRow="1" w:lastRow="0" w:firstColumn="1" w:lastColumn="0" w:noHBand="0" w:noVBand="1"/>
      </w:tblPr>
      <w:tblGrid>
        <w:gridCol w:w="4340"/>
        <w:gridCol w:w="1897"/>
        <w:gridCol w:w="1701"/>
        <w:gridCol w:w="1560"/>
      </w:tblGrid>
      <w:tr w:rsidR="00F575A4" w:rsidRPr="008C4EC2" w14:paraId="5142E33D" w14:textId="77777777" w:rsidTr="00731286">
        <w:trPr>
          <w:trHeight w:val="450"/>
        </w:trPr>
        <w:tc>
          <w:tcPr>
            <w:tcW w:w="4340" w:type="dxa"/>
            <w:tcBorders>
              <w:top w:val="nil"/>
              <w:left w:val="nil"/>
              <w:bottom w:val="nil"/>
              <w:right w:val="nil"/>
            </w:tcBorders>
            <w:shd w:val="clear" w:color="auto" w:fill="auto"/>
            <w:noWrap/>
            <w:vAlign w:val="center"/>
            <w:hideMark/>
          </w:tcPr>
          <w:p w14:paraId="5142E339" w14:textId="77777777" w:rsidR="00F575A4" w:rsidRPr="0018547A" w:rsidRDefault="00F575A4" w:rsidP="00731286">
            <w:pPr>
              <w:rPr>
                <w:rFonts w:ascii="Calibri" w:eastAsia="Calibri" w:hAnsi="Calibri" w:cs="Calibri"/>
                <w:i/>
                <w:iCs/>
                <w:color w:val="00183D"/>
                <w:sz w:val="14"/>
                <w:szCs w:val="14"/>
                <w:lang w:val="el-GR"/>
              </w:rPr>
            </w:pPr>
            <w:r w:rsidRPr="0018547A">
              <w:rPr>
                <w:rFonts w:ascii="Calibri" w:hAnsi="Calibri"/>
                <w:i/>
                <w:color w:val="00183D"/>
                <w:sz w:val="14"/>
                <w:lang w:val="el-GR"/>
              </w:rPr>
              <w:t>Σε εκατομμύρια</w:t>
            </w:r>
            <w:r>
              <w:rPr>
                <w:rFonts w:ascii="Calibri" w:hAnsi="Calibri"/>
                <w:i/>
                <w:color w:val="00183D"/>
                <w:sz w:val="14"/>
                <w:lang w:val="el-GR"/>
              </w:rPr>
              <w:t xml:space="preserve"> ευρώ</w:t>
            </w:r>
          </w:p>
        </w:tc>
        <w:tc>
          <w:tcPr>
            <w:tcW w:w="1897" w:type="dxa"/>
            <w:tcBorders>
              <w:top w:val="nil"/>
              <w:left w:val="nil"/>
              <w:bottom w:val="nil"/>
              <w:right w:val="nil"/>
            </w:tcBorders>
            <w:shd w:val="clear" w:color="auto" w:fill="F2F2F2" w:themeFill="background1" w:themeFillShade="F2"/>
            <w:noWrap/>
            <w:vAlign w:val="center"/>
            <w:hideMark/>
          </w:tcPr>
          <w:p w14:paraId="5142E33A" w14:textId="77777777" w:rsidR="00F575A4" w:rsidRPr="00FE10ED" w:rsidRDefault="00F575A4" w:rsidP="00731286">
            <w:pPr>
              <w:jc w:val="right"/>
              <w:rPr>
                <w:rFonts w:ascii="Calibri" w:eastAsia="Calibri" w:hAnsi="Calibri" w:cs="Calibri"/>
                <w:b/>
                <w:bCs/>
                <w:color w:val="01B1D7"/>
                <w:sz w:val="21"/>
                <w:szCs w:val="21"/>
              </w:rPr>
            </w:pPr>
            <w:r>
              <w:rPr>
                <w:rFonts w:ascii="Calibri" w:hAnsi="Calibri"/>
                <w:b/>
                <w:color w:val="01B1D7"/>
                <w:sz w:val="21"/>
                <w:lang w:val="el-GR"/>
              </w:rPr>
              <w:t>Β’ Τρίμηνο</w:t>
            </w:r>
            <w:r w:rsidR="00B9646B">
              <w:rPr>
                <w:rFonts w:ascii="Calibri" w:hAnsi="Calibri"/>
                <w:b/>
                <w:color w:val="01B1D7"/>
                <w:sz w:val="21"/>
              </w:rPr>
              <w:t xml:space="preserve"> 2021</w:t>
            </w:r>
          </w:p>
        </w:tc>
        <w:tc>
          <w:tcPr>
            <w:tcW w:w="1701" w:type="dxa"/>
            <w:tcBorders>
              <w:top w:val="nil"/>
              <w:left w:val="nil"/>
              <w:bottom w:val="nil"/>
              <w:right w:val="nil"/>
            </w:tcBorders>
            <w:shd w:val="clear" w:color="auto" w:fill="auto"/>
            <w:noWrap/>
            <w:vAlign w:val="center"/>
            <w:hideMark/>
          </w:tcPr>
          <w:p w14:paraId="5142E33B" w14:textId="77777777" w:rsidR="00F575A4" w:rsidRPr="00FE10ED" w:rsidRDefault="00F575A4" w:rsidP="00731286">
            <w:pPr>
              <w:jc w:val="right"/>
              <w:rPr>
                <w:rFonts w:ascii="Calibri" w:eastAsia="Calibri" w:hAnsi="Calibri" w:cs="Calibri"/>
                <w:b/>
                <w:bCs/>
                <w:color w:val="00183D"/>
                <w:sz w:val="21"/>
                <w:szCs w:val="21"/>
              </w:rPr>
            </w:pPr>
            <w:r>
              <w:rPr>
                <w:rFonts w:ascii="Calibri" w:hAnsi="Calibri"/>
                <w:b/>
                <w:color w:val="00183D"/>
                <w:sz w:val="21"/>
                <w:lang w:val="el-GR"/>
              </w:rPr>
              <w:t>Β’ Τρίμηνο</w:t>
            </w:r>
            <w:r w:rsidR="00B9646B">
              <w:rPr>
                <w:rFonts w:ascii="Calibri" w:hAnsi="Calibri"/>
                <w:b/>
                <w:color w:val="00183D"/>
                <w:sz w:val="21"/>
              </w:rPr>
              <w:t xml:space="preserve"> 2020</w:t>
            </w:r>
          </w:p>
        </w:tc>
        <w:tc>
          <w:tcPr>
            <w:tcW w:w="1560" w:type="dxa"/>
            <w:tcBorders>
              <w:top w:val="nil"/>
              <w:left w:val="nil"/>
              <w:bottom w:val="nil"/>
              <w:right w:val="nil"/>
            </w:tcBorders>
            <w:shd w:val="clear" w:color="auto" w:fill="auto"/>
            <w:noWrap/>
            <w:vAlign w:val="center"/>
            <w:hideMark/>
          </w:tcPr>
          <w:p w14:paraId="5142E33C" w14:textId="77777777" w:rsidR="00F575A4" w:rsidRPr="0018547A" w:rsidRDefault="00F575A4" w:rsidP="00731286">
            <w:pPr>
              <w:jc w:val="right"/>
              <w:rPr>
                <w:rFonts w:ascii="Calibri" w:eastAsia="Calibri" w:hAnsi="Calibri" w:cs="Calibri"/>
                <w:b/>
                <w:bCs/>
                <w:color w:val="00183D"/>
                <w:sz w:val="21"/>
                <w:szCs w:val="21"/>
                <w:lang w:val="el-GR"/>
              </w:rPr>
            </w:pPr>
            <w:r>
              <w:rPr>
                <w:rFonts w:ascii="Calibri" w:hAnsi="Calibri"/>
                <w:b/>
                <w:color w:val="00183D"/>
                <w:sz w:val="21"/>
                <w:lang w:val="el-GR"/>
              </w:rPr>
              <w:t xml:space="preserve">Μεταβολή </w:t>
            </w:r>
            <w:r w:rsidRPr="0018547A">
              <w:rPr>
                <w:rFonts w:ascii="Calibri" w:hAnsi="Calibri"/>
                <w:b/>
                <w:color w:val="00183D"/>
                <w:sz w:val="21"/>
                <w:lang w:val="el-GR"/>
              </w:rPr>
              <w:t xml:space="preserve">% </w:t>
            </w:r>
          </w:p>
        </w:tc>
      </w:tr>
      <w:tr w:rsidR="00B9646B" w:rsidRPr="00FE10ED" w14:paraId="5142E342" w14:textId="77777777" w:rsidTr="00731286">
        <w:trPr>
          <w:trHeight w:val="405"/>
        </w:trPr>
        <w:tc>
          <w:tcPr>
            <w:tcW w:w="4340" w:type="dxa"/>
            <w:tcBorders>
              <w:top w:val="single" w:sz="4" w:space="0" w:color="auto"/>
              <w:left w:val="nil"/>
              <w:bottom w:val="single" w:sz="4" w:space="0" w:color="auto"/>
              <w:right w:val="nil"/>
            </w:tcBorders>
            <w:shd w:val="clear" w:color="auto" w:fill="auto"/>
            <w:noWrap/>
            <w:vAlign w:val="center"/>
            <w:hideMark/>
          </w:tcPr>
          <w:p w14:paraId="5142E33E" w14:textId="77777777" w:rsidR="00B9646B" w:rsidRPr="00FE10ED" w:rsidRDefault="00B9646B" w:rsidP="00B9646B">
            <w:pPr>
              <w:rPr>
                <w:rFonts w:ascii="Calibri" w:eastAsia="Calibri" w:hAnsi="Calibri" w:cs="Calibri"/>
                <w:color w:val="00183D"/>
                <w:sz w:val="21"/>
                <w:szCs w:val="21"/>
              </w:rPr>
            </w:pPr>
            <w:r>
              <w:rPr>
                <w:rFonts w:ascii="Calibri" w:hAnsi="Calibri"/>
                <w:color w:val="00183D"/>
                <w:sz w:val="21"/>
                <w:lang w:val="el-GR"/>
              </w:rPr>
              <w:t>Κύκλος Εργασιών</w:t>
            </w:r>
          </w:p>
        </w:tc>
        <w:tc>
          <w:tcPr>
            <w:tcW w:w="1897" w:type="dxa"/>
            <w:tcBorders>
              <w:top w:val="single" w:sz="4" w:space="0" w:color="auto"/>
              <w:left w:val="nil"/>
              <w:bottom w:val="single" w:sz="4" w:space="0" w:color="auto"/>
              <w:right w:val="nil"/>
            </w:tcBorders>
            <w:shd w:val="clear" w:color="auto" w:fill="F2F2F2" w:themeFill="background1" w:themeFillShade="F2"/>
            <w:noWrap/>
            <w:vAlign w:val="center"/>
            <w:hideMark/>
          </w:tcPr>
          <w:p w14:paraId="5142E33F" w14:textId="77777777" w:rsidR="00B9646B" w:rsidRPr="00B9646B" w:rsidRDefault="00B9646B" w:rsidP="00B9646B">
            <w:pPr>
              <w:jc w:val="right"/>
              <w:rPr>
                <w:rFonts w:ascii="Calibri" w:eastAsia="Calibri" w:hAnsi="Calibri" w:cs="Calibri"/>
                <w:color w:val="00183D"/>
                <w:sz w:val="21"/>
                <w:szCs w:val="21"/>
              </w:rPr>
            </w:pPr>
            <w:r>
              <w:rPr>
                <w:rFonts w:ascii="Calibri" w:eastAsia="Calibri" w:hAnsi="Calibri" w:cs="Calibri"/>
                <w:color w:val="00183D"/>
                <w:sz w:val="21"/>
                <w:szCs w:val="21"/>
                <w:lang w:val="el-GR"/>
              </w:rPr>
              <w:t>4</w:t>
            </w:r>
            <w:r>
              <w:rPr>
                <w:rFonts w:ascii="Calibri" w:eastAsia="Calibri" w:hAnsi="Calibri" w:cs="Calibri"/>
                <w:color w:val="00183D"/>
                <w:sz w:val="21"/>
                <w:szCs w:val="21"/>
              </w:rPr>
              <w:t>50,3</w:t>
            </w:r>
          </w:p>
        </w:tc>
        <w:tc>
          <w:tcPr>
            <w:tcW w:w="1701" w:type="dxa"/>
            <w:tcBorders>
              <w:top w:val="single" w:sz="4" w:space="0" w:color="auto"/>
              <w:left w:val="nil"/>
              <w:bottom w:val="single" w:sz="4" w:space="0" w:color="auto"/>
              <w:right w:val="nil"/>
            </w:tcBorders>
            <w:shd w:val="clear" w:color="auto" w:fill="auto"/>
            <w:noWrap/>
            <w:vAlign w:val="center"/>
            <w:hideMark/>
          </w:tcPr>
          <w:p w14:paraId="5142E340" w14:textId="77777777" w:rsidR="00B9646B" w:rsidRPr="00FE10ED" w:rsidRDefault="00B9646B" w:rsidP="00B9646B">
            <w:pPr>
              <w:jc w:val="right"/>
              <w:rPr>
                <w:rFonts w:ascii="Calibri" w:eastAsia="Calibri" w:hAnsi="Calibri" w:cs="Calibri"/>
                <w:color w:val="00183D"/>
                <w:sz w:val="21"/>
                <w:szCs w:val="21"/>
              </w:rPr>
            </w:pPr>
            <w:r>
              <w:rPr>
                <w:rFonts w:ascii="Calibri" w:eastAsia="Calibri" w:hAnsi="Calibri" w:cs="Calibri"/>
                <w:color w:val="00183D"/>
                <w:sz w:val="21"/>
                <w:szCs w:val="21"/>
                <w:lang w:val="el-GR"/>
              </w:rPr>
              <w:t>401,5</w:t>
            </w:r>
          </w:p>
        </w:tc>
        <w:tc>
          <w:tcPr>
            <w:tcW w:w="1560" w:type="dxa"/>
            <w:tcBorders>
              <w:top w:val="single" w:sz="4" w:space="0" w:color="auto"/>
              <w:left w:val="nil"/>
              <w:bottom w:val="single" w:sz="4" w:space="0" w:color="auto"/>
              <w:right w:val="nil"/>
            </w:tcBorders>
            <w:shd w:val="clear" w:color="auto" w:fill="auto"/>
            <w:noWrap/>
            <w:vAlign w:val="center"/>
            <w:hideMark/>
          </w:tcPr>
          <w:p w14:paraId="5142E341" w14:textId="77777777" w:rsidR="00B9646B" w:rsidRPr="00FE10ED" w:rsidRDefault="004415BB" w:rsidP="00B9646B">
            <w:pPr>
              <w:jc w:val="right"/>
              <w:rPr>
                <w:rFonts w:ascii="Calibri" w:eastAsia="Calibri" w:hAnsi="Calibri" w:cs="Calibri"/>
                <w:color w:val="00183D"/>
                <w:sz w:val="21"/>
                <w:szCs w:val="21"/>
              </w:rPr>
            </w:pPr>
            <w:r>
              <w:rPr>
                <w:rFonts w:ascii="Calibri" w:hAnsi="Calibri"/>
                <w:color w:val="00183D"/>
                <w:sz w:val="21"/>
                <w:lang w:val="el-GR"/>
              </w:rPr>
              <w:t>12,2</w:t>
            </w:r>
            <w:r w:rsidR="00B9646B">
              <w:rPr>
                <w:rFonts w:ascii="Calibri" w:hAnsi="Calibri"/>
                <w:color w:val="00183D"/>
                <w:sz w:val="21"/>
              </w:rPr>
              <w:t>%</w:t>
            </w:r>
          </w:p>
        </w:tc>
      </w:tr>
      <w:tr w:rsidR="00B9646B" w:rsidRPr="00FE10ED" w14:paraId="5142E347" w14:textId="77777777" w:rsidTr="00731286">
        <w:trPr>
          <w:trHeight w:val="405"/>
        </w:trPr>
        <w:tc>
          <w:tcPr>
            <w:tcW w:w="4340" w:type="dxa"/>
            <w:tcBorders>
              <w:top w:val="nil"/>
              <w:left w:val="nil"/>
              <w:bottom w:val="single" w:sz="4" w:space="0" w:color="auto"/>
              <w:right w:val="nil"/>
            </w:tcBorders>
            <w:shd w:val="clear" w:color="auto" w:fill="auto"/>
            <w:noWrap/>
            <w:vAlign w:val="center"/>
            <w:hideMark/>
          </w:tcPr>
          <w:p w14:paraId="5142E343" w14:textId="77777777" w:rsidR="00B9646B" w:rsidRPr="00FE10ED" w:rsidRDefault="00B9646B" w:rsidP="00B9646B">
            <w:pPr>
              <w:rPr>
                <w:rFonts w:ascii="Calibri" w:eastAsia="Calibri" w:hAnsi="Calibri" w:cs="Calibri"/>
                <w:color w:val="00183D"/>
                <w:sz w:val="21"/>
                <w:szCs w:val="21"/>
              </w:rPr>
            </w:pPr>
            <w:r>
              <w:rPr>
                <w:rFonts w:ascii="Calibri" w:hAnsi="Calibri"/>
                <w:color w:val="00183D"/>
                <w:sz w:val="21"/>
                <w:lang w:val="el-GR"/>
              </w:rPr>
              <w:t xml:space="preserve">Λειτουργικά Κέρδη </w:t>
            </w:r>
            <w:r>
              <w:rPr>
                <w:rFonts w:ascii="Calibri" w:hAnsi="Calibri"/>
                <w:color w:val="00183D"/>
                <w:sz w:val="21"/>
              </w:rPr>
              <w:t>(EBITDA)</w:t>
            </w:r>
          </w:p>
        </w:tc>
        <w:tc>
          <w:tcPr>
            <w:tcW w:w="1897" w:type="dxa"/>
            <w:tcBorders>
              <w:top w:val="nil"/>
              <w:left w:val="nil"/>
              <w:bottom w:val="single" w:sz="4" w:space="0" w:color="auto"/>
              <w:right w:val="nil"/>
            </w:tcBorders>
            <w:shd w:val="clear" w:color="auto" w:fill="F2F2F2" w:themeFill="background1" w:themeFillShade="F2"/>
            <w:noWrap/>
            <w:vAlign w:val="center"/>
            <w:hideMark/>
          </w:tcPr>
          <w:p w14:paraId="5142E344" w14:textId="77777777" w:rsidR="00B9646B" w:rsidRPr="00DE406D" w:rsidRDefault="00B9646B" w:rsidP="00B9646B">
            <w:pPr>
              <w:jc w:val="right"/>
              <w:rPr>
                <w:rFonts w:ascii="Calibri" w:eastAsia="Calibri" w:hAnsi="Calibri" w:cs="Calibri"/>
                <w:color w:val="00183D"/>
                <w:sz w:val="21"/>
                <w:szCs w:val="21"/>
                <w:lang w:val="el-GR"/>
              </w:rPr>
            </w:pPr>
            <w:r>
              <w:rPr>
                <w:rFonts w:ascii="Calibri" w:eastAsia="Calibri" w:hAnsi="Calibri" w:cs="Calibri"/>
                <w:color w:val="00183D"/>
                <w:sz w:val="21"/>
                <w:szCs w:val="21"/>
                <w:lang w:val="el-GR"/>
              </w:rPr>
              <w:t>86,5</w:t>
            </w:r>
          </w:p>
        </w:tc>
        <w:tc>
          <w:tcPr>
            <w:tcW w:w="1701" w:type="dxa"/>
            <w:tcBorders>
              <w:top w:val="nil"/>
              <w:left w:val="nil"/>
              <w:bottom w:val="single" w:sz="4" w:space="0" w:color="auto"/>
              <w:right w:val="nil"/>
            </w:tcBorders>
            <w:shd w:val="clear" w:color="auto" w:fill="auto"/>
            <w:noWrap/>
            <w:vAlign w:val="center"/>
            <w:hideMark/>
          </w:tcPr>
          <w:p w14:paraId="5142E345" w14:textId="77777777" w:rsidR="00B9646B" w:rsidRPr="00FE10ED" w:rsidRDefault="00B9646B" w:rsidP="00B9646B">
            <w:pPr>
              <w:jc w:val="right"/>
              <w:rPr>
                <w:rFonts w:ascii="Calibri" w:eastAsia="Calibri" w:hAnsi="Calibri" w:cs="Calibri"/>
                <w:color w:val="00183D"/>
                <w:sz w:val="21"/>
                <w:szCs w:val="21"/>
              </w:rPr>
            </w:pPr>
            <w:r>
              <w:rPr>
                <w:rFonts w:ascii="Calibri" w:eastAsia="Calibri" w:hAnsi="Calibri" w:cs="Calibri"/>
                <w:color w:val="00183D"/>
                <w:sz w:val="21"/>
                <w:szCs w:val="21"/>
                <w:lang w:val="el-GR"/>
              </w:rPr>
              <w:t>96,2</w:t>
            </w:r>
          </w:p>
        </w:tc>
        <w:tc>
          <w:tcPr>
            <w:tcW w:w="1560" w:type="dxa"/>
            <w:tcBorders>
              <w:top w:val="nil"/>
              <w:left w:val="nil"/>
              <w:bottom w:val="single" w:sz="4" w:space="0" w:color="auto"/>
              <w:right w:val="nil"/>
            </w:tcBorders>
            <w:shd w:val="clear" w:color="auto" w:fill="auto"/>
            <w:noWrap/>
            <w:vAlign w:val="center"/>
            <w:hideMark/>
          </w:tcPr>
          <w:p w14:paraId="5142E346" w14:textId="77777777" w:rsidR="00B9646B" w:rsidRPr="00FE10ED" w:rsidRDefault="004415BB" w:rsidP="00B9646B">
            <w:pPr>
              <w:jc w:val="right"/>
              <w:rPr>
                <w:rFonts w:ascii="Calibri" w:eastAsia="Calibri" w:hAnsi="Calibri" w:cs="Calibri"/>
                <w:color w:val="00183D"/>
                <w:sz w:val="21"/>
                <w:szCs w:val="21"/>
              </w:rPr>
            </w:pPr>
            <w:r>
              <w:rPr>
                <w:rFonts w:ascii="Calibri" w:hAnsi="Calibri"/>
                <w:color w:val="00183D"/>
                <w:sz w:val="21"/>
                <w:lang w:val="el-GR"/>
              </w:rPr>
              <w:t>-10,1</w:t>
            </w:r>
            <w:r w:rsidR="00B9646B">
              <w:rPr>
                <w:rFonts w:ascii="Calibri" w:hAnsi="Calibri"/>
                <w:color w:val="00183D"/>
                <w:sz w:val="21"/>
              </w:rPr>
              <w:t>%</w:t>
            </w:r>
          </w:p>
        </w:tc>
      </w:tr>
      <w:tr w:rsidR="00B9646B" w:rsidRPr="006E1982" w14:paraId="5142E34C" w14:textId="77777777" w:rsidTr="00731286">
        <w:trPr>
          <w:trHeight w:val="405"/>
        </w:trPr>
        <w:tc>
          <w:tcPr>
            <w:tcW w:w="4340" w:type="dxa"/>
            <w:tcBorders>
              <w:top w:val="nil"/>
              <w:left w:val="nil"/>
              <w:bottom w:val="single" w:sz="4" w:space="0" w:color="auto"/>
              <w:right w:val="nil"/>
            </w:tcBorders>
            <w:shd w:val="clear" w:color="auto" w:fill="auto"/>
            <w:noWrap/>
            <w:vAlign w:val="center"/>
            <w:hideMark/>
          </w:tcPr>
          <w:p w14:paraId="5142E348" w14:textId="77777777" w:rsidR="00B9646B" w:rsidRPr="0018547A" w:rsidRDefault="00B9646B" w:rsidP="00B9646B">
            <w:pPr>
              <w:rPr>
                <w:rFonts w:ascii="Calibri" w:eastAsia="Calibri" w:hAnsi="Calibri" w:cs="Calibri"/>
                <w:color w:val="00183D"/>
                <w:sz w:val="21"/>
                <w:szCs w:val="21"/>
                <w:lang w:val="el-GR"/>
              </w:rPr>
            </w:pPr>
            <w:r w:rsidRPr="0018547A">
              <w:rPr>
                <w:rFonts w:ascii="Calibri" w:hAnsi="Calibri"/>
                <w:color w:val="00183D"/>
                <w:sz w:val="21"/>
                <w:lang w:val="el-GR"/>
              </w:rPr>
              <w:t xml:space="preserve">Καθαρά κέρδη μετά </w:t>
            </w:r>
            <w:r>
              <w:rPr>
                <w:rFonts w:ascii="Calibri" w:hAnsi="Calibri"/>
                <w:color w:val="00183D"/>
                <w:sz w:val="21"/>
                <w:lang w:val="el-GR"/>
              </w:rPr>
              <w:t>από φόρους</w:t>
            </w:r>
            <w:r w:rsidRPr="0018547A">
              <w:rPr>
                <w:rFonts w:ascii="Calibri" w:hAnsi="Calibri"/>
                <w:color w:val="00183D"/>
                <w:sz w:val="21"/>
                <w:lang w:val="el-GR"/>
              </w:rPr>
              <w:t xml:space="preserve"> </w:t>
            </w:r>
            <w:r>
              <w:rPr>
                <w:rFonts w:ascii="Calibri" w:hAnsi="Calibri"/>
                <w:color w:val="00183D"/>
                <w:sz w:val="21"/>
                <w:lang w:val="el-GR"/>
              </w:rPr>
              <w:t>&amp;</w:t>
            </w:r>
            <w:r w:rsidRPr="0018547A">
              <w:rPr>
                <w:rFonts w:ascii="Calibri" w:hAnsi="Calibri"/>
                <w:color w:val="00183D"/>
                <w:sz w:val="21"/>
                <w:lang w:val="el-GR"/>
              </w:rPr>
              <w:t xml:space="preserve"> δικαιώματ</w:t>
            </w:r>
            <w:r>
              <w:rPr>
                <w:rFonts w:ascii="Calibri" w:hAnsi="Calibri"/>
                <w:color w:val="00183D"/>
                <w:sz w:val="21"/>
                <w:lang w:val="el-GR"/>
              </w:rPr>
              <w:t>α</w:t>
            </w:r>
            <w:r w:rsidRPr="0018547A">
              <w:rPr>
                <w:rFonts w:ascii="Calibri" w:hAnsi="Calibri"/>
                <w:color w:val="00183D"/>
                <w:sz w:val="21"/>
                <w:lang w:val="el-GR"/>
              </w:rPr>
              <w:t xml:space="preserve"> μειοψηφίας</w:t>
            </w:r>
          </w:p>
        </w:tc>
        <w:tc>
          <w:tcPr>
            <w:tcW w:w="1897" w:type="dxa"/>
            <w:tcBorders>
              <w:top w:val="nil"/>
              <w:left w:val="nil"/>
              <w:bottom w:val="single" w:sz="4" w:space="0" w:color="auto"/>
              <w:right w:val="nil"/>
            </w:tcBorders>
            <w:shd w:val="clear" w:color="auto" w:fill="F2F2F2" w:themeFill="background1" w:themeFillShade="F2"/>
            <w:noWrap/>
            <w:vAlign w:val="center"/>
            <w:hideMark/>
          </w:tcPr>
          <w:p w14:paraId="5142E349" w14:textId="77777777" w:rsidR="00B9646B" w:rsidRPr="0012626B" w:rsidRDefault="00B9646B" w:rsidP="0012626B">
            <w:pPr>
              <w:jc w:val="right"/>
              <w:rPr>
                <w:rFonts w:ascii="Calibri" w:eastAsia="Calibri" w:hAnsi="Calibri" w:cs="Calibri"/>
                <w:color w:val="00183D"/>
                <w:sz w:val="21"/>
                <w:szCs w:val="21"/>
              </w:rPr>
            </w:pPr>
            <w:r>
              <w:rPr>
                <w:rFonts w:ascii="Calibri" w:eastAsia="Calibri" w:hAnsi="Calibri" w:cs="Calibri"/>
                <w:color w:val="00183D"/>
                <w:sz w:val="21"/>
                <w:szCs w:val="21"/>
                <w:lang w:val="el-GR"/>
              </w:rPr>
              <w:t>42,</w:t>
            </w:r>
            <w:r w:rsidR="0012626B">
              <w:rPr>
                <w:rFonts w:ascii="Calibri" w:eastAsia="Calibri" w:hAnsi="Calibri" w:cs="Calibri"/>
                <w:color w:val="00183D"/>
                <w:sz w:val="21"/>
                <w:szCs w:val="21"/>
              </w:rPr>
              <w:t>7</w:t>
            </w:r>
          </w:p>
        </w:tc>
        <w:tc>
          <w:tcPr>
            <w:tcW w:w="1701" w:type="dxa"/>
            <w:tcBorders>
              <w:top w:val="nil"/>
              <w:left w:val="nil"/>
              <w:bottom w:val="single" w:sz="4" w:space="0" w:color="auto"/>
              <w:right w:val="nil"/>
            </w:tcBorders>
            <w:shd w:val="clear" w:color="auto" w:fill="auto"/>
            <w:noWrap/>
            <w:vAlign w:val="center"/>
            <w:hideMark/>
          </w:tcPr>
          <w:p w14:paraId="5142E34A" w14:textId="77777777" w:rsidR="00B9646B" w:rsidRPr="00FE10ED" w:rsidRDefault="00B9646B" w:rsidP="00B9646B">
            <w:pPr>
              <w:jc w:val="right"/>
              <w:rPr>
                <w:rFonts w:ascii="Calibri" w:eastAsia="Calibri" w:hAnsi="Calibri" w:cs="Calibri"/>
                <w:color w:val="00183D"/>
                <w:sz w:val="21"/>
                <w:szCs w:val="21"/>
              </w:rPr>
            </w:pPr>
            <w:r>
              <w:rPr>
                <w:rFonts w:ascii="Calibri" w:eastAsia="Calibri" w:hAnsi="Calibri" w:cs="Calibri"/>
                <w:color w:val="00183D"/>
                <w:sz w:val="21"/>
                <w:szCs w:val="21"/>
                <w:lang w:val="el-GR"/>
              </w:rPr>
              <w:t>38,2</w:t>
            </w:r>
          </w:p>
        </w:tc>
        <w:tc>
          <w:tcPr>
            <w:tcW w:w="1560" w:type="dxa"/>
            <w:tcBorders>
              <w:top w:val="nil"/>
              <w:left w:val="nil"/>
              <w:bottom w:val="single" w:sz="4" w:space="0" w:color="auto"/>
              <w:right w:val="nil"/>
            </w:tcBorders>
            <w:shd w:val="clear" w:color="auto" w:fill="auto"/>
            <w:noWrap/>
            <w:vAlign w:val="center"/>
            <w:hideMark/>
          </w:tcPr>
          <w:p w14:paraId="5142E34B" w14:textId="77777777" w:rsidR="00B9646B" w:rsidRPr="00FE10ED" w:rsidRDefault="0012626B" w:rsidP="00B9646B">
            <w:pPr>
              <w:jc w:val="right"/>
              <w:rPr>
                <w:rFonts w:ascii="Calibri" w:eastAsia="Calibri" w:hAnsi="Calibri" w:cs="Calibri"/>
                <w:color w:val="00183D"/>
                <w:sz w:val="21"/>
                <w:szCs w:val="21"/>
              </w:rPr>
            </w:pPr>
            <w:r>
              <w:rPr>
                <w:rFonts w:ascii="Calibri" w:hAnsi="Calibri"/>
                <w:color w:val="00183D"/>
                <w:sz w:val="21"/>
                <w:lang w:val="el-GR"/>
              </w:rPr>
              <w:t>11,8</w:t>
            </w:r>
            <w:r w:rsidR="00B9646B">
              <w:rPr>
                <w:rFonts w:ascii="Calibri" w:hAnsi="Calibri"/>
                <w:color w:val="00183D"/>
                <w:sz w:val="21"/>
              </w:rPr>
              <w:t>%</w:t>
            </w:r>
          </w:p>
        </w:tc>
      </w:tr>
    </w:tbl>
    <w:p w14:paraId="5142E34D" w14:textId="77777777" w:rsidR="00F575A4" w:rsidRDefault="00F575A4" w:rsidP="00F575A4">
      <w:pPr>
        <w:pStyle w:val="C"/>
        <w:spacing w:line="240" w:lineRule="auto"/>
        <w:jc w:val="both"/>
        <w:rPr>
          <w:rFonts w:eastAsia="Calibri" w:cs="Calibri"/>
          <w:noProof/>
        </w:rPr>
      </w:pPr>
    </w:p>
    <w:p w14:paraId="5142E34E"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4F" w14:textId="77777777" w:rsidR="00F575A4" w:rsidRDefault="00F575A4" w:rsidP="00F575A4">
      <w:pPr>
        <w:pStyle w:val="A"/>
        <w:jc w:val="both"/>
        <w:rPr>
          <w:rFonts w:ascii="Calibri" w:eastAsia="Calibri" w:hAnsi="Calibri" w:cs="Calibri"/>
          <w:b/>
          <w:bCs/>
          <w:noProof/>
          <w:sz w:val="28"/>
          <w:lang w:val="el-GR"/>
        </w:rPr>
      </w:pPr>
    </w:p>
    <w:p w14:paraId="5142E350"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1"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2"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3"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4"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5"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6" w14:textId="77777777" w:rsidR="00F575A4" w:rsidRDefault="00F575A4" w:rsidP="00F575A4">
      <w:pPr>
        <w:spacing w:after="200" w:line="276" w:lineRule="auto"/>
        <w:rPr>
          <w:rFonts w:ascii="Calibri" w:eastAsia="Calibri" w:hAnsi="Calibri" w:cs="Calibri"/>
          <w:b/>
          <w:bCs/>
          <w:noProof/>
          <w:color w:val="00183D"/>
          <w:sz w:val="28"/>
          <w:szCs w:val="28"/>
          <w:lang w:val="el-GR"/>
        </w:rPr>
      </w:pPr>
    </w:p>
    <w:p w14:paraId="5142E357" w14:textId="36994A88" w:rsidR="00F575A4" w:rsidRDefault="00F575A4" w:rsidP="00F575A4">
      <w:pPr>
        <w:spacing w:after="200" w:line="276" w:lineRule="auto"/>
        <w:rPr>
          <w:rFonts w:ascii="Calibri" w:eastAsia="Calibri" w:hAnsi="Calibri" w:cs="Calibri"/>
          <w:b/>
          <w:bCs/>
          <w:noProof/>
          <w:color w:val="00183D"/>
          <w:sz w:val="28"/>
          <w:szCs w:val="28"/>
          <w:lang w:val="el-GR"/>
        </w:rPr>
      </w:pPr>
    </w:p>
    <w:p w14:paraId="31CD19CD" w14:textId="77777777" w:rsidR="00DB0DFC" w:rsidRDefault="00DB0DFC" w:rsidP="00F575A4">
      <w:pPr>
        <w:spacing w:after="200" w:line="276" w:lineRule="auto"/>
        <w:rPr>
          <w:rFonts w:ascii="Calibri" w:eastAsia="Calibri" w:hAnsi="Calibri" w:cs="Calibri"/>
          <w:b/>
          <w:bCs/>
          <w:noProof/>
          <w:color w:val="00183D"/>
          <w:sz w:val="28"/>
          <w:szCs w:val="28"/>
          <w:lang w:val="el-GR"/>
        </w:rPr>
      </w:pPr>
    </w:p>
    <w:p w14:paraId="5142E359" w14:textId="77777777" w:rsidR="004B1BCD" w:rsidRPr="00D9720B" w:rsidRDefault="004B1BCD" w:rsidP="004B1BCD">
      <w:pPr>
        <w:pStyle w:val="C"/>
        <w:spacing w:line="240" w:lineRule="auto"/>
        <w:jc w:val="both"/>
        <w:rPr>
          <w:rFonts w:cs="Calibri"/>
          <w:noProof/>
        </w:rPr>
      </w:pPr>
      <w:r>
        <w:rPr>
          <w:rFonts w:cs="Calibri"/>
          <w:noProof/>
          <w:lang w:val="en-US"/>
        </w:rPr>
        <w:lastRenderedPageBreak/>
        <mc:AlternateContent>
          <mc:Choice Requires="wps">
            <w:drawing>
              <wp:anchor distT="0" distB="0" distL="114300" distR="114300" simplePos="0" relativeHeight="251658258" behindDoc="0" locked="0" layoutInCell="1" allowOverlap="1" wp14:anchorId="5142E64E" wp14:editId="5142E64F">
                <wp:simplePos x="0" y="0"/>
                <wp:positionH relativeFrom="margin">
                  <wp:align>right</wp:align>
                </wp:positionH>
                <wp:positionV relativeFrom="paragraph">
                  <wp:posOffset>268605</wp:posOffset>
                </wp:positionV>
                <wp:extent cx="6120130" cy="1905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6120130" cy="19050"/>
                        </a:xfrm>
                        <a:prstGeom prst="line">
                          <a:avLst/>
                        </a:prstGeom>
                        <a:noFill/>
                        <a:ln w="3175" cap="flat" cmpd="sng" algn="ctr">
                          <a:solidFill>
                            <a:srgbClr val="0018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61BA9BAD" id="Straight Connector 3" o:spid="_x0000_s1026" style="position:absolute;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7pt,21.15pt" to="912.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" strokecolor="#00183d" strokeweight=".25pt">
                <w10:wrap anchorx="margin"/>
              </v:line>
            </w:pict>
          </mc:Fallback>
        </mc:AlternateContent>
      </w:r>
      <w:r>
        <w:t>Επιδόσεις ESG</w:t>
      </w:r>
    </w:p>
    <w:p w14:paraId="5142E35A" w14:textId="77777777" w:rsidR="004B1BCD" w:rsidRDefault="004B1BCD" w:rsidP="004B1BCD">
      <w:pPr>
        <w:jc w:val="both"/>
        <w:rPr>
          <w:rFonts w:ascii="Calibri" w:eastAsia="Calibri" w:hAnsi="Calibri" w:cs="Calibri"/>
          <w:color w:val="00183D"/>
          <w:sz w:val="21"/>
          <w:szCs w:val="21"/>
        </w:rPr>
      </w:pPr>
    </w:p>
    <w:p w14:paraId="5142E35B" w14:textId="77777777" w:rsidR="004B1BCD" w:rsidRPr="004B1BCD" w:rsidRDefault="004B1BCD" w:rsidP="004B1BCD">
      <w:pPr>
        <w:jc w:val="both"/>
        <w:rPr>
          <w:rStyle w:val="normaltextrun"/>
          <w:rFonts w:ascii="Calibri" w:eastAsiaTheme="majorEastAsia" w:hAnsi="Calibri" w:cs="Calibri"/>
          <w:color w:val="00183D"/>
          <w:sz w:val="21"/>
          <w:szCs w:val="21"/>
          <w:lang w:val="el-GR"/>
        </w:rPr>
      </w:pPr>
      <w:r w:rsidRPr="004B1BCD">
        <w:rPr>
          <w:rFonts w:ascii="Calibri" w:hAnsi="Calibri"/>
          <w:color w:val="00183D"/>
          <w:sz w:val="21"/>
          <w:lang w:val="el-GR"/>
        </w:rPr>
        <w:t>Ο Όμιλος ΤΙΤΑΝ έχει ήδη μια καλή εκκίνηση για την επίτευξη των νέων στόχων που έχει θέσει για το 2025 και μετά, σε θέματα περιβάλλοντος, κοινωνίας και διακυβέρνησης (</w:t>
      </w:r>
      <w:r>
        <w:rPr>
          <w:rFonts w:ascii="Calibri" w:hAnsi="Calibri"/>
          <w:color w:val="00183D"/>
          <w:sz w:val="21"/>
        </w:rPr>
        <w:t>ESG</w:t>
      </w:r>
      <w:r w:rsidRPr="004B1BCD">
        <w:rPr>
          <w:rFonts w:ascii="Calibri" w:hAnsi="Calibri"/>
          <w:color w:val="00183D"/>
          <w:sz w:val="21"/>
          <w:lang w:val="el-GR"/>
        </w:rPr>
        <w:t>), οι οποίοι ανακοινώθηκαν νωρίτερα φέτος</w:t>
      </w:r>
      <w:r w:rsidRPr="004B1BCD">
        <w:rPr>
          <w:rStyle w:val="normaltextrun"/>
          <w:rFonts w:ascii="Calibri" w:eastAsiaTheme="majorEastAsia" w:hAnsi="Calibri"/>
          <w:color w:val="00183D"/>
          <w:sz w:val="21"/>
          <w:lang w:val="el-GR"/>
        </w:rPr>
        <w:t xml:space="preserve"> και εστιάζουν σε τέσσερις περιοχές που χαρακτηρίζονται ως ουσιώδεις από τους </w:t>
      </w:r>
      <w:proofErr w:type="spellStart"/>
      <w:r w:rsidRPr="004B1BCD">
        <w:rPr>
          <w:rStyle w:val="normaltextrun"/>
          <w:rFonts w:ascii="Calibri" w:eastAsiaTheme="majorEastAsia" w:hAnsi="Calibri"/>
          <w:color w:val="00183D"/>
          <w:sz w:val="21"/>
          <w:lang w:val="el-GR"/>
        </w:rPr>
        <w:t>συμ</w:t>
      </w:r>
      <w:proofErr w:type="spellEnd"/>
      <w:r w:rsidRPr="004B1BCD">
        <w:rPr>
          <w:rStyle w:val="normaltextrun"/>
          <w:rFonts w:ascii="Calibri" w:eastAsiaTheme="majorEastAsia" w:hAnsi="Calibri"/>
          <w:color w:val="00183D"/>
          <w:sz w:val="21"/>
          <w:lang w:val="el-GR"/>
        </w:rPr>
        <w:t xml:space="preserve">-μετόχους του: ουδέτερο αποτύπωμα άνθρακα και ψηφιακός μετασχηματισμός· εργασιακό περιβάλλον που ενθαρρύνει την εξέλιξη· θετικό αποτύπωμα στις περιοχές που δραστηριοποιείται· υπεύθυνη εφοδιαστική αλυσίδα. Όλα τα παραπάνω </w:t>
      </w:r>
      <w:proofErr w:type="spellStart"/>
      <w:r w:rsidRPr="004B1BCD">
        <w:rPr>
          <w:rStyle w:val="normaltextrun"/>
          <w:rFonts w:ascii="Calibri" w:eastAsiaTheme="majorEastAsia" w:hAnsi="Calibri"/>
          <w:color w:val="00183D"/>
          <w:sz w:val="21"/>
          <w:lang w:val="el-GR"/>
        </w:rPr>
        <w:t>διέπονται</w:t>
      </w:r>
      <w:proofErr w:type="spellEnd"/>
      <w:r w:rsidRPr="004B1BCD">
        <w:rPr>
          <w:rStyle w:val="normaltextrun"/>
          <w:rFonts w:ascii="Calibri" w:eastAsiaTheme="majorEastAsia" w:hAnsi="Calibri"/>
          <w:color w:val="00183D"/>
          <w:sz w:val="21"/>
          <w:lang w:val="el-GR"/>
        </w:rPr>
        <w:t xml:space="preserve"> από τις αρχές της καλής διακυβέρνησης, της διαφάνειας και της επιχειρηματικής ηθικής.</w:t>
      </w:r>
    </w:p>
    <w:p w14:paraId="5142E35C" w14:textId="77777777" w:rsidR="004B1BCD" w:rsidRPr="004B1BCD" w:rsidRDefault="004B1BCD" w:rsidP="004B1BCD">
      <w:pPr>
        <w:jc w:val="both"/>
        <w:rPr>
          <w:rStyle w:val="normaltextrun"/>
          <w:rFonts w:ascii="Calibri" w:eastAsiaTheme="majorEastAsia" w:hAnsi="Calibri" w:cs="Calibri"/>
          <w:color w:val="00183D"/>
          <w:sz w:val="16"/>
          <w:szCs w:val="21"/>
          <w:lang w:val="el-GR"/>
        </w:rPr>
      </w:pPr>
    </w:p>
    <w:p w14:paraId="5142E35D" w14:textId="6131332E" w:rsidR="004B1BCD" w:rsidRPr="004B1BCD" w:rsidRDefault="004B1BCD" w:rsidP="004B1BCD">
      <w:pPr>
        <w:jc w:val="both"/>
        <w:rPr>
          <w:rStyle w:val="normaltextrun"/>
          <w:rFonts w:eastAsiaTheme="majorEastAsia"/>
          <w:lang w:val="el-GR"/>
        </w:rPr>
      </w:pPr>
      <w:r w:rsidRPr="004B1BCD">
        <w:rPr>
          <w:rStyle w:val="normaltextrun"/>
          <w:rFonts w:ascii="Calibri" w:eastAsiaTheme="majorEastAsia" w:hAnsi="Calibri"/>
          <w:color w:val="00183D"/>
          <w:sz w:val="21"/>
          <w:lang w:val="el-GR"/>
        </w:rPr>
        <w:t xml:space="preserve">Η πρωτοβουλία </w:t>
      </w:r>
      <w:r>
        <w:rPr>
          <w:rStyle w:val="normaltextrun"/>
          <w:rFonts w:ascii="Calibri" w:eastAsiaTheme="majorEastAsia" w:hAnsi="Calibri"/>
          <w:color w:val="00183D"/>
          <w:sz w:val="21"/>
        </w:rPr>
        <w:t>Science</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Based</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Targets</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SBTi</w:t>
      </w:r>
      <w:r w:rsidRPr="004B1BCD">
        <w:rPr>
          <w:rStyle w:val="normaltextrun"/>
          <w:rFonts w:ascii="Calibri" w:eastAsiaTheme="majorEastAsia" w:hAnsi="Calibri"/>
          <w:color w:val="00183D"/>
          <w:sz w:val="21"/>
          <w:lang w:val="el-GR"/>
        </w:rPr>
        <w:t xml:space="preserve">) επικύρωσε τους στόχους του Ομίλου για τη μείωση των εκπομπών </w:t>
      </w:r>
      <w:r>
        <w:rPr>
          <w:rStyle w:val="normaltextrun"/>
          <w:rFonts w:ascii="Calibri" w:eastAsiaTheme="majorEastAsia" w:hAnsi="Calibri"/>
          <w:color w:val="00183D"/>
          <w:sz w:val="21"/>
        </w:rPr>
        <w:t>CO</w:t>
      </w:r>
      <w:r w:rsidRPr="004B1BCD">
        <w:rPr>
          <w:rStyle w:val="normaltextrun"/>
          <w:rFonts w:ascii="Calibri" w:eastAsiaTheme="majorEastAsia" w:hAnsi="Calibri"/>
          <w:color w:val="00183D"/>
          <w:sz w:val="21"/>
          <w:vertAlign w:val="subscript"/>
          <w:lang w:val="el-GR"/>
        </w:rPr>
        <w:t>2</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Scope</w:t>
      </w:r>
      <w:r w:rsidRPr="004B1BCD">
        <w:rPr>
          <w:rStyle w:val="normaltextrun"/>
          <w:rFonts w:ascii="Calibri" w:eastAsiaTheme="majorEastAsia" w:hAnsi="Calibri"/>
          <w:color w:val="00183D"/>
          <w:sz w:val="21"/>
          <w:lang w:val="el-GR"/>
        </w:rPr>
        <w:t xml:space="preserve"> 1 και 2) για το 2030 ως εναρμονισμένους με τα επίπεδα που προβλέπονται για την επίτευξη των στόχων της Συμφωνίας των </w:t>
      </w:r>
      <w:proofErr w:type="spellStart"/>
      <w:r w:rsidRPr="004B1BCD">
        <w:rPr>
          <w:rStyle w:val="normaltextrun"/>
          <w:rFonts w:ascii="Calibri" w:eastAsiaTheme="majorEastAsia" w:hAnsi="Calibri"/>
          <w:color w:val="00183D"/>
          <w:sz w:val="21"/>
          <w:lang w:val="el-GR"/>
        </w:rPr>
        <w:t>Παρισίων</w:t>
      </w:r>
      <w:proofErr w:type="spellEnd"/>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COP</w:t>
      </w:r>
      <w:r w:rsidRPr="004B1BCD">
        <w:rPr>
          <w:rStyle w:val="normaltextrun"/>
          <w:rFonts w:ascii="Calibri" w:eastAsiaTheme="majorEastAsia" w:hAnsi="Calibri"/>
          <w:color w:val="00183D"/>
          <w:sz w:val="21"/>
          <w:lang w:val="el-GR"/>
        </w:rPr>
        <w:t>21) όσον αφορά τη συγκράτηση της αύξησης της θερμοκρασίας του πλανήτη αρκετά χαμηλότερα από τους 2°</w:t>
      </w:r>
      <w:r>
        <w:rPr>
          <w:rStyle w:val="normaltextrun"/>
          <w:rFonts w:ascii="Calibri" w:eastAsiaTheme="majorEastAsia" w:hAnsi="Calibri"/>
          <w:color w:val="00183D"/>
          <w:sz w:val="21"/>
        </w:rPr>
        <w:t>C</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O</w:t>
      </w:r>
      <w:r w:rsidRPr="004B1BCD">
        <w:rPr>
          <w:rStyle w:val="normaltextrun"/>
          <w:rFonts w:ascii="Calibri" w:eastAsiaTheme="majorEastAsia" w:hAnsi="Calibri"/>
          <w:color w:val="00183D"/>
          <w:sz w:val="21"/>
          <w:lang w:val="el-GR"/>
        </w:rPr>
        <w:t xml:space="preserve"> Όμιλος </w:t>
      </w:r>
      <w:r w:rsidRPr="000C6A40">
        <w:rPr>
          <w:rStyle w:val="normaltextrun"/>
          <w:rFonts w:ascii="Calibri" w:eastAsiaTheme="majorEastAsia" w:hAnsi="Calibri"/>
          <w:color w:val="00183D"/>
          <w:sz w:val="21"/>
        </w:rPr>
        <w:t>TITA</w:t>
      </w:r>
      <w:r w:rsidRPr="004B1BCD">
        <w:rPr>
          <w:rStyle w:val="normaltextrun"/>
          <w:rFonts w:ascii="Calibri" w:eastAsiaTheme="majorEastAsia" w:hAnsi="Calibri"/>
          <w:color w:val="00183D"/>
          <w:sz w:val="21"/>
          <w:lang w:val="el-GR"/>
        </w:rPr>
        <w:t xml:space="preserve">Ν είναι μία από τις πρώτες εταιρίες του κλάδου τσιμέντου διεθνώς της οποίας οι στόχοι μείωσης εκπομπών </w:t>
      </w:r>
      <w:r w:rsidRPr="000C6A40">
        <w:rPr>
          <w:rStyle w:val="normaltextrun"/>
          <w:rFonts w:ascii="Calibri" w:eastAsiaTheme="majorEastAsia" w:hAnsi="Calibri"/>
          <w:color w:val="00183D"/>
          <w:sz w:val="21"/>
        </w:rPr>
        <w:t>CO</w:t>
      </w:r>
      <w:r w:rsidRPr="004B1BCD">
        <w:rPr>
          <w:rStyle w:val="normaltextrun"/>
          <w:rFonts w:ascii="Calibri" w:eastAsiaTheme="majorEastAsia" w:hAnsi="Calibri"/>
          <w:color w:val="00183D"/>
          <w:sz w:val="21"/>
          <w:vertAlign w:val="subscript"/>
          <w:lang w:val="el-GR"/>
        </w:rPr>
        <w:t>2</w:t>
      </w:r>
      <w:r w:rsidRPr="004B1BCD">
        <w:rPr>
          <w:rStyle w:val="normaltextrun"/>
          <w:rFonts w:ascii="Calibri" w:eastAsiaTheme="majorEastAsia" w:hAnsi="Calibri"/>
          <w:color w:val="00183D"/>
          <w:sz w:val="21"/>
          <w:lang w:val="el-GR"/>
        </w:rPr>
        <w:t xml:space="preserve"> επικυρώθηκαν από την πρωτοβουλία </w:t>
      </w:r>
      <w:r>
        <w:rPr>
          <w:rStyle w:val="normaltextrun"/>
          <w:rFonts w:ascii="Calibri" w:eastAsiaTheme="majorEastAsia" w:hAnsi="Calibri"/>
          <w:color w:val="00183D"/>
          <w:sz w:val="21"/>
        </w:rPr>
        <w:t>Science</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Based</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Targets</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SBTi</w:t>
      </w:r>
      <w:r w:rsidRPr="004B1BCD">
        <w:rPr>
          <w:rStyle w:val="normaltextrun"/>
          <w:rFonts w:ascii="Calibri" w:eastAsiaTheme="majorEastAsia" w:hAnsi="Calibri"/>
          <w:color w:val="00183D"/>
          <w:sz w:val="21"/>
          <w:lang w:val="el-GR"/>
        </w:rPr>
        <w:t xml:space="preserve">), η οποία αποτελεί μια συνεργασία μεταξύ του οργανισμού </w:t>
      </w:r>
      <w:r w:rsidRPr="000C6A40">
        <w:rPr>
          <w:rStyle w:val="normaltextrun"/>
          <w:rFonts w:ascii="Calibri" w:eastAsiaTheme="majorEastAsia" w:hAnsi="Calibri"/>
          <w:color w:val="00183D"/>
          <w:sz w:val="21"/>
        </w:rPr>
        <w:t>Carbon</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Disclosure</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Project</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CDP</w:t>
      </w:r>
      <w:r w:rsidRPr="004B1BCD">
        <w:rPr>
          <w:rStyle w:val="normaltextrun"/>
          <w:rFonts w:ascii="Calibri" w:eastAsiaTheme="majorEastAsia" w:hAnsi="Calibri"/>
          <w:color w:val="00183D"/>
          <w:sz w:val="21"/>
          <w:lang w:val="el-GR"/>
        </w:rPr>
        <w:t>), του Οικουμενικού Συμφώνου των Ηνωμένων Εθνών, του Ινστιτούτο</w:t>
      </w:r>
      <w:r w:rsidR="00F9367B">
        <w:rPr>
          <w:rStyle w:val="normaltextrun"/>
          <w:rFonts w:ascii="Calibri" w:eastAsiaTheme="majorEastAsia" w:hAnsi="Calibri"/>
          <w:color w:val="00183D"/>
          <w:sz w:val="21"/>
          <w:lang w:val="el-GR"/>
        </w:rPr>
        <w:t>υ</w:t>
      </w:r>
      <w:r w:rsidRPr="004B1BCD">
        <w:rPr>
          <w:rStyle w:val="normaltextrun"/>
          <w:rFonts w:ascii="Calibri" w:eastAsiaTheme="majorEastAsia" w:hAnsi="Calibri"/>
          <w:color w:val="00183D"/>
          <w:sz w:val="21"/>
          <w:lang w:val="el-GR"/>
        </w:rPr>
        <w:t xml:space="preserve"> Παγκόσμιων Πόρων (</w:t>
      </w:r>
      <w:r w:rsidRPr="000C6A40">
        <w:rPr>
          <w:rStyle w:val="normaltextrun"/>
          <w:rFonts w:ascii="Calibri" w:eastAsiaTheme="majorEastAsia" w:hAnsi="Calibri"/>
          <w:color w:val="00183D"/>
          <w:sz w:val="21"/>
        </w:rPr>
        <w:t>World</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Resources</w:t>
      </w:r>
      <w:r w:rsidRPr="004B1BCD">
        <w:rPr>
          <w:rStyle w:val="normaltextrun"/>
          <w:rFonts w:ascii="Calibri" w:eastAsiaTheme="majorEastAsia" w:hAnsi="Calibri"/>
          <w:color w:val="00183D"/>
          <w:sz w:val="21"/>
          <w:lang w:val="el-GR"/>
        </w:rPr>
        <w:t xml:space="preserve"> </w:t>
      </w:r>
      <w:r w:rsidRPr="000C6A40">
        <w:rPr>
          <w:rStyle w:val="normaltextrun"/>
          <w:rFonts w:ascii="Calibri" w:eastAsiaTheme="majorEastAsia" w:hAnsi="Calibri"/>
          <w:color w:val="00183D"/>
          <w:sz w:val="21"/>
        </w:rPr>
        <w:t>Institute</w:t>
      </w:r>
      <w:r w:rsidRPr="004B1BCD">
        <w:rPr>
          <w:rStyle w:val="normaltextrun"/>
          <w:rFonts w:ascii="Calibri" w:eastAsiaTheme="majorEastAsia" w:hAnsi="Calibri"/>
          <w:color w:val="00183D"/>
          <w:sz w:val="21"/>
          <w:lang w:val="el-GR"/>
        </w:rPr>
        <w:t xml:space="preserve"> - </w:t>
      </w:r>
      <w:r w:rsidRPr="000C6A40">
        <w:rPr>
          <w:rStyle w:val="normaltextrun"/>
          <w:rFonts w:ascii="Calibri" w:eastAsiaTheme="majorEastAsia" w:hAnsi="Calibri"/>
          <w:color w:val="00183D"/>
          <w:sz w:val="21"/>
        </w:rPr>
        <w:t>WRI</w:t>
      </w:r>
      <w:r w:rsidRPr="004B1BCD">
        <w:rPr>
          <w:rStyle w:val="normaltextrun"/>
          <w:rFonts w:ascii="Calibri" w:eastAsiaTheme="majorEastAsia" w:hAnsi="Calibri"/>
          <w:color w:val="00183D"/>
          <w:sz w:val="21"/>
          <w:lang w:val="el-GR"/>
        </w:rPr>
        <w:t>) και του Παγκόσμιου Ταμείου για τη Φύση (</w:t>
      </w:r>
      <w:r w:rsidRPr="000C6A40">
        <w:rPr>
          <w:rStyle w:val="normaltextrun"/>
          <w:rFonts w:ascii="Calibri" w:eastAsiaTheme="majorEastAsia" w:hAnsi="Calibri"/>
          <w:color w:val="00183D"/>
          <w:sz w:val="21"/>
        </w:rPr>
        <w:t>WWF</w:t>
      </w:r>
      <w:r w:rsidRPr="004B1BCD">
        <w:rPr>
          <w:rStyle w:val="normaltextrun"/>
          <w:rFonts w:ascii="Calibri" w:eastAsiaTheme="majorEastAsia" w:hAnsi="Calibri"/>
          <w:color w:val="00183D"/>
          <w:sz w:val="21"/>
          <w:lang w:val="el-GR"/>
        </w:rPr>
        <w:t xml:space="preserve">). Επιπλέον, ο Όμιλος παρακολουθεί πλέον τις εκπομπές </w:t>
      </w:r>
      <w:r w:rsidRPr="00D904BF">
        <w:rPr>
          <w:rStyle w:val="normaltextrun"/>
          <w:rFonts w:ascii="Calibri" w:eastAsiaTheme="majorEastAsia" w:hAnsi="Calibri"/>
          <w:color w:val="00183D"/>
          <w:sz w:val="21"/>
        </w:rPr>
        <w:t>CO</w:t>
      </w:r>
      <w:r w:rsidRPr="004B1BCD">
        <w:rPr>
          <w:rStyle w:val="normaltextrun"/>
          <w:rFonts w:ascii="Calibri" w:eastAsiaTheme="majorEastAsia" w:hAnsi="Calibri"/>
          <w:color w:val="00183D"/>
          <w:sz w:val="21"/>
          <w:vertAlign w:val="subscript"/>
          <w:lang w:val="el-GR"/>
        </w:rPr>
        <w:t>2</w:t>
      </w:r>
      <w:r w:rsidRPr="004B1BCD">
        <w:rPr>
          <w:rStyle w:val="normaltextrun"/>
          <w:rFonts w:ascii="Calibri" w:eastAsiaTheme="majorEastAsia" w:hAnsi="Calibri"/>
          <w:color w:val="00183D"/>
          <w:sz w:val="21"/>
          <w:lang w:val="el-GR"/>
        </w:rPr>
        <w:t xml:space="preserve"> της εφοδιαστικής αλυσίδας (</w:t>
      </w:r>
      <w:r w:rsidRPr="00667E90">
        <w:rPr>
          <w:rStyle w:val="normaltextrun"/>
          <w:rFonts w:ascii="Calibri" w:eastAsiaTheme="majorEastAsia" w:hAnsi="Calibri"/>
          <w:color w:val="00183D"/>
          <w:sz w:val="21"/>
        </w:rPr>
        <w:t>Scope</w:t>
      </w:r>
      <w:r w:rsidRPr="004B1BCD">
        <w:rPr>
          <w:rStyle w:val="normaltextrun"/>
          <w:rFonts w:ascii="Calibri" w:eastAsiaTheme="majorEastAsia" w:hAnsi="Calibri"/>
          <w:color w:val="00183D"/>
          <w:sz w:val="21"/>
          <w:lang w:val="el-GR"/>
        </w:rPr>
        <w:t xml:space="preserve"> 3) σε όλα τα εργοστάσια τσιμέντου. Οι εκπομπές από τη μεταφορά και διανομή των προϊόντων του Ομίλου το 2020 επαληθεύτηκαν από ανεξάρτητο ελεγκτή.</w:t>
      </w:r>
    </w:p>
    <w:p w14:paraId="5142E35E" w14:textId="77777777" w:rsidR="004B1BCD" w:rsidRPr="004B1BCD" w:rsidRDefault="004B1BCD" w:rsidP="004B1BCD">
      <w:pPr>
        <w:jc w:val="both"/>
        <w:rPr>
          <w:rFonts w:ascii="Calibri" w:eastAsia="Calibri" w:hAnsi="Calibri"/>
          <w:color w:val="00183D"/>
          <w:sz w:val="16"/>
          <w:lang w:val="el-GR"/>
        </w:rPr>
      </w:pPr>
    </w:p>
    <w:p w14:paraId="5142E35F" w14:textId="4D2DED8F" w:rsidR="004B1BCD" w:rsidRPr="004B1BCD" w:rsidRDefault="004B1BCD" w:rsidP="004B1BCD">
      <w:pPr>
        <w:jc w:val="both"/>
        <w:rPr>
          <w:rFonts w:ascii="Calibri" w:eastAsia="Calibri" w:hAnsi="Calibri" w:cs="Calibri"/>
          <w:color w:val="00183D"/>
          <w:sz w:val="21"/>
          <w:szCs w:val="21"/>
          <w:lang w:val="el-GR"/>
        </w:rPr>
      </w:pPr>
      <w:r w:rsidRPr="004B1BCD">
        <w:rPr>
          <w:rFonts w:ascii="Calibri" w:hAnsi="Calibri"/>
          <w:color w:val="00183D"/>
          <w:sz w:val="21"/>
          <w:lang w:val="el-GR"/>
        </w:rPr>
        <w:t>Ο Όμιλος ΤΙΤΑΝ εξακολούθησε να αναπτύσσει συστήματα διαχείρισης ενεργειακής απόδοσης και μηδενικών αποβλήτων προς ταφή σε όλες τις δραστηριότητές</w:t>
      </w:r>
      <w:r w:rsidR="00A46448" w:rsidRPr="00A46448">
        <w:rPr>
          <w:rFonts w:ascii="Calibri" w:hAnsi="Calibri"/>
          <w:color w:val="00183D"/>
          <w:sz w:val="21"/>
          <w:lang w:val="el-GR"/>
        </w:rPr>
        <w:t xml:space="preserve"> </w:t>
      </w:r>
      <w:r w:rsidR="00A46448">
        <w:rPr>
          <w:rFonts w:ascii="Calibri" w:hAnsi="Calibri"/>
          <w:color w:val="00183D"/>
          <w:sz w:val="21"/>
          <w:lang w:val="el-GR"/>
        </w:rPr>
        <w:t>του</w:t>
      </w:r>
      <w:r w:rsidRPr="004B1BCD">
        <w:rPr>
          <w:rFonts w:ascii="Calibri" w:hAnsi="Calibri"/>
          <w:color w:val="00183D"/>
          <w:sz w:val="21"/>
          <w:lang w:val="el-GR"/>
        </w:rPr>
        <w:t xml:space="preserve">. Μετά την πιστοποίηση των δύο εργοστασίων στην Αίγυπτο, ποσοστό 82% της παραγωγής του Ομίλου καλύπτεται πλέον με πιστοποίηση Συστημάτων Ενεργειακής Διαχείρισης </w:t>
      </w:r>
      <w:r>
        <w:rPr>
          <w:rFonts w:ascii="Calibri" w:hAnsi="Calibri"/>
          <w:color w:val="00183D"/>
          <w:sz w:val="21"/>
        </w:rPr>
        <w:t>ISO</w:t>
      </w:r>
      <w:r w:rsidRPr="004B1BCD">
        <w:rPr>
          <w:rFonts w:ascii="Calibri" w:hAnsi="Calibri"/>
          <w:color w:val="00183D"/>
          <w:sz w:val="21"/>
          <w:lang w:val="el-GR"/>
        </w:rPr>
        <w:t xml:space="preserve"> 50001 ή με ενεργειακούς ελέγχους. Επιπλέον, όλα τα εργοστάσια τσιμέντου του Τιτάνα στην Ελλάδα έλαβαν το σήμα </w:t>
      </w:r>
      <w:r>
        <w:rPr>
          <w:rFonts w:ascii="Calibri" w:hAnsi="Calibri"/>
          <w:color w:val="00183D"/>
          <w:sz w:val="21"/>
        </w:rPr>
        <w:t>Platinum</w:t>
      </w:r>
      <w:r w:rsidRPr="004B1BCD">
        <w:rPr>
          <w:rFonts w:ascii="Calibri" w:hAnsi="Calibri"/>
          <w:color w:val="00183D"/>
          <w:sz w:val="21"/>
          <w:lang w:val="el-GR"/>
        </w:rPr>
        <w:t>, τον υψηλότερο βαθμό που προβλέπεται σύμφωνα με το πρότυπο «</w:t>
      </w:r>
      <w:r>
        <w:rPr>
          <w:rFonts w:ascii="Calibri" w:hAnsi="Calibri"/>
          <w:color w:val="00183D"/>
          <w:sz w:val="21"/>
        </w:rPr>
        <w:t>Zero</w:t>
      </w:r>
      <w:r w:rsidRPr="004B1BCD">
        <w:rPr>
          <w:rFonts w:ascii="Calibri" w:hAnsi="Calibri"/>
          <w:color w:val="00183D"/>
          <w:sz w:val="21"/>
          <w:lang w:val="el-GR"/>
        </w:rPr>
        <w:t xml:space="preserve"> </w:t>
      </w:r>
      <w:r>
        <w:rPr>
          <w:rFonts w:ascii="Calibri" w:hAnsi="Calibri"/>
          <w:color w:val="00183D"/>
          <w:sz w:val="21"/>
        </w:rPr>
        <w:t>Waste</w:t>
      </w:r>
      <w:r w:rsidRPr="004B1BCD">
        <w:rPr>
          <w:rFonts w:ascii="Calibri" w:hAnsi="Calibri"/>
          <w:color w:val="00183D"/>
          <w:sz w:val="21"/>
          <w:lang w:val="el-GR"/>
        </w:rPr>
        <w:t xml:space="preserve"> </w:t>
      </w:r>
      <w:r>
        <w:rPr>
          <w:rFonts w:ascii="Calibri" w:hAnsi="Calibri"/>
          <w:color w:val="00183D"/>
          <w:sz w:val="21"/>
        </w:rPr>
        <w:t>to</w:t>
      </w:r>
      <w:r w:rsidRPr="004B1BCD">
        <w:rPr>
          <w:rFonts w:ascii="Calibri" w:hAnsi="Calibri"/>
          <w:color w:val="00183D"/>
          <w:sz w:val="21"/>
          <w:lang w:val="el-GR"/>
        </w:rPr>
        <w:t xml:space="preserve"> </w:t>
      </w:r>
      <w:r>
        <w:rPr>
          <w:rFonts w:ascii="Calibri" w:hAnsi="Calibri"/>
          <w:color w:val="00183D"/>
          <w:sz w:val="21"/>
        </w:rPr>
        <w:t>Landfill</w:t>
      </w:r>
      <w:r w:rsidRPr="004B1BCD">
        <w:rPr>
          <w:rFonts w:ascii="Calibri" w:hAnsi="Calibri"/>
          <w:color w:val="00183D"/>
          <w:sz w:val="21"/>
          <w:lang w:val="el-GR"/>
        </w:rPr>
        <w:t xml:space="preserve">» της </w:t>
      </w:r>
      <w:proofErr w:type="spellStart"/>
      <w:r>
        <w:rPr>
          <w:rFonts w:ascii="Calibri" w:hAnsi="Calibri"/>
          <w:color w:val="00183D"/>
          <w:sz w:val="21"/>
        </w:rPr>
        <w:t>Eurocert</w:t>
      </w:r>
      <w:proofErr w:type="spellEnd"/>
      <w:r w:rsidRPr="004B1BCD">
        <w:rPr>
          <w:rFonts w:ascii="Calibri" w:hAnsi="Calibri"/>
          <w:color w:val="00183D"/>
          <w:sz w:val="21"/>
          <w:lang w:val="el-GR"/>
        </w:rPr>
        <w:t xml:space="preserve"> για την αποτροπή των αποβλήτων από την ταφή. Καθώς τα εργοστάσια στις ΗΠΑ και στην Τουρκία έχουν λάβει παρόμοιες πιστοποιήσεις, ποσοστό άνω του 50% της παραγωγής το Ομίλου διαθέτει πλέον σχετική πιστοποίηση μηδενικών αποβλήτων για ταφή.</w:t>
      </w:r>
    </w:p>
    <w:p w14:paraId="5142E360" w14:textId="77777777" w:rsidR="004B1BCD" w:rsidRPr="004B1BCD" w:rsidRDefault="004B1BCD" w:rsidP="004B1BCD">
      <w:pPr>
        <w:jc w:val="both"/>
        <w:rPr>
          <w:rFonts w:ascii="Calibri" w:eastAsia="Calibri" w:hAnsi="Calibri" w:cs="Calibri"/>
          <w:color w:val="00183D"/>
          <w:sz w:val="16"/>
          <w:szCs w:val="21"/>
          <w:lang w:val="el-GR"/>
        </w:rPr>
      </w:pPr>
    </w:p>
    <w:p w14:paraId="5142E361" w14:textId="222D8DD2" w:rsidR="004B1BCD" w:rsidRPr="004B1BCD" w:rsidRDefault="004B1BCD" w:rsidP="004B1BCD">
      <w:pPr>
        <w:jc w:val="both"/>
        <w:rPr>
          <w:rFonts w:ascii="Calibri" w:eastAsia="Calibri" w:hAnsi="Calibri"/>
          <w:color w:val="00183D"/>
          <w:sz w:val="21"/>
          <w:lang w:val="el-GR"/>
        </w:rPr>
      </w:pPr>
      <w:r w:rsidRPr="004B1BCD">
        <w:rPr>
          <w:rFonts w:ascii="Calibri" w:hAnsi="Calibri"/>
          <w:color w:val="00183D"/>
          <w:sz w:val="21"/>
          <w:lang w:val="el-GR"/>
        </w:rPr>
        <w:t xml:space="preserve">Το θετικό αποτύπωμα στις περιοχές που δραστηριοποιείται και η σύμπραξη με τις τοπικές κοινωνίες εξακολούθησαν να αποτελούν προτεραιότητα για τον Όμιλο. </w:t>
      </w:r>
      <w:r w:rsidRPr="004B1BCD">
        <w:rPr>
          <w:rStyle w:val="normaltextrun"/>
          <w:rFonts w:ascii="Calibri" w:eastAsiaTheme="majorEastAsia" w:hAnsi="Calibri"/>
          <w:color w:val="00183D"/>
          <w:sz w:val="21"/>
          <w:lang w:val="el-GR"/>
        </w:rPr>
        <w:t>Η θυγατρική του Ομίλου στη Βόρεια Μακεδονία έλαβε έπαινο στο πλαίσιο της απονομής των βραβείων «</w:t>
      </w:r>
      <w:r>
        <w:rPr>
          <w:rStyle w:val="normaltextrun"/>
          <w:rFonts w:ascii="Calibri" w:eastAsiaTheme="majorEastAsia" w:hAnsi="Calibri"/>
          <w:color w:val="00183D"/>
          <w:sz w:val="21"/>
        </w:rPr>
        <w:t>Sustainable</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Development</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Goals</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SDG</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Pioneer</w:t>
      </w:r>
      <w:r w:rsidRPr="004B1BCD">
        <w:rPr>
          <w:rStyle w:val="normaltextrun"/>
          <w:rFonts w:ascii="Calibri" w:eastAsiaTheme="majorEastAsia" w:hAnsi="Calibri"/>
          <w:color w:val="00183D"/>
          <w:sz w:val="21"/>
          <w:lang w:val="el-GR"/>
        </w:rPr>
        <w:t xml:space="preserve">», που διοργανώθηκε από το Δίκτυο </w:t>
      </w:r>
      <w:r>
        <w:rPr>
          <w:rStyle w:val="normaltextrun"/>
          <w:rFonts w:ascii="Calibri" w:eastAsiaTheme="majorEastAsia" w:hAnsi="Calibri"/>
          <w:color w:val="00183D"/>
          <w:sz w:val="21"/>
        </w:rPr>
        <w:t>UN</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Global</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Compact</w:t>
      </w:r>
      <w:r w:rsidRPr="004B1BCD">
        <w:rPr>
          <w:rStyle w:val="normaltextrun"/>
          <w:rFonts w:ascii="Calibri" w:eastAsiaTheme="majorEastAsia" w:hAnsi="Calibri"/>
          <w:color w:val="00183D"/>
          <w:sz w:val="21"/>
          <w:lang w:val="el-GR"/>
        </w:rPr>
        <w:t xml:space="preserve"> και την </w:t>
      </w:r>
      <w:r>
        <w:rPr>
          <w:rStyle w:val="normaltextrun"/>
          <w:rFonts w:ascii="Calibri" w:eastAsiaTheme="majorEastAsia" w:hAnsi="Calibri"/>
          <w:color w:val="00183D"/>
          <w:sz w:val="21"/>
        </w:rPr>
        <w:t>O</w:t>
      </w:r>
      <w:proofErr w:type="spellStart"/>
      <w:r w:rsidRPr="004B1BCD">
        <w:rPr>
          <w:rStyle w:val="normaltextrun"/>
          <w:rFonts w:ascii="Calibri" w:eastAsiaTheme="majorEastAsia" w:hAnsi="Calibri"/>
          <w:color w:val="00183D"/>
          <w:sz w:val="21"/>
          <w:lang w:val="el-GR"/>
        </w:rPr>
        <w:t>ργάνωση</w:t>
      </w:r>
      <w:proofErr w:type="spellEnd"/>
      <w:r w:rsidRPr="004B1BCD">
        <w:rPr>
          <w:rStyle w:val="normaltextrun"/>
          <w:rFonts w:ascii="Calibri" w:eastAsiaTheme="majorEastAsia" w:hAnsi="Calibri"/>
          <w:color w:val="00183D"/>
          <w:sz w:val="21"/>
          <w:lang w:val="el-GR"/>
        </w:rPr>
        <w:t xml:space="preserve"> της κοινωνίας των πολιτών </w:t>
      </w:r>
      <w:proofErr w:type="spellStart"/>
      <w:r>
        <w:rPr>
          <w:rStyle w:val="normaltextrun"/>
          <w:rFonts w:ascii="Calibri" w:eastAsiaTheme="majorEastAsia" w:hAnsi="Calibri"/>
          <w:color w:val="00183D"/>
          <w:sz w:val="21"/>
        </w:rPr>
        <w:t>Konekt</w:t>
      </w:r>
      <w:proofErr w:type="spellEnd"/>
      <w:r w:rsidRPr="004B1BCD">
        <w:rPr>
          <w:rStyle w:val="normaltextrun"/>
          <w:rFonts w:ascii="Calibri" w:eastAsiaTheme="majorEastAsia" w:hAnsi="Calibri"/>
          <w:color w:val="00183D"/>
          <w:sz w:val="21"/>
          <w:lang w:val="el-GR"/>
        </w:rPr>
        <w:t xml:space="preserve">, ως αναγνώριση των πρωτοβουλιών που ανέλαβε με στόχο την υγεία και την ευημερία (ΣΒΑ 3), την ποιοτική εκπαίδευση (ΣΒΑ 4), και την κλιματική αλλαγή (ΣΒΑ 13). Στην Ελλάδα, ο ΤΙΤΑΝ γιόρτασε τη φύτευση άνω των 2.000.000 δέντρων από το 1971, τη χρονιά που ξεκίνησε το πρόγραμμα περιβαλλοντικής αποκατάστασης και </w:t>
      </w:r>
      <w:proofErr w:type="spellStart"/>
      <w:r w:rsidRPr="004B1BCD">
        <w:rPr>
          <w:rStyle w:val="normaltextrun"/>
          <w:rFonts w:ascii="Calibri" w:eastAsiaTheme="majorEastAsia" w:hAnsi="Calibri"/>
          <w:color w:val="00183D"/>
          <w:sz w:val="21"/>
          <w:lang w:val="el-GR"/>
        </w:rPr>
        <w:t>δενδροφύτευσης</w:t>
      </w:r>
      <w:proofErr w:type="spellEnd"/>
      <w:r w:rsidRPr="004B1BCD">
        <w:rPr>
          <w:rStyle w:val="normaltextrun"/>
          <w:rFonts w:ascii="Calibri" w:eastAsiaTheme="majorEastAsia" w:hAnsi="Calibri"/>
          <w:color w:val="00183D"/>
          <w:sz w:val="21"/>
          <w:lang w:val="el-GR"/>
        </w:rPr>
        <w:t xml:space="preserve">. Οι προσπάθειες του Ομίλου σε θέματα βιοποικιλότητας, διατήρησης των φυσικών πόρων και βιώσιμης ανάπτυξης αναγνωρίστηκαν επίσης στο πλαίσιο των Βραβείων </w:t>
      </w:r>
      <w:r>
        <w:rPr>
          <w:rStyle w:val="normaltextrun"/>
          <w:rFonts w:ascii="Calibri" w:eastAsiaTheme="majorEastAsia" w:hAnsi="Calibri"/>
          <w:color w:val="00183D"/>
          <w:sz w:val="21"/>
        </w:rPr>
        <w:t>Bravo</w:t>
      </w:r>
      <w:r w:rsidRPr="004B1BCD">
        <w:rPr>
          <w:rStyle w:val="normaltextrun"/>
          <w:rFonts w:ascii="Calibri" w:eastAsiaTheme="majorEastAsia" w:hAnsi="Calibri"/>
          <w:color w:val="00183D"/>
          <w:sz w:val="21"/>
          <w:lang w:val="el-GR"/>
        </w:rPr>
        <w:t xml:space="preserve"> </w:t>
      </w:r>
      <w:r>
        <w:rPr>
          <w:rStyle w:val="normaltextrun"/>
          <w:rFonts w:ascii="Calibri" w:eastAsiaTheme="majorEastAsia" w:hAnsi="Calibri"/>
          <w:color w:val="00183D"/>
          <w:sz w:val="21"/>
        </w:rPr>
        <w:t>Sustainability</w:t>
      </w:r>
      <w:r w:rsidRPr="004B1BCD">
        <w:rPr>
          <w:rStyle w:val="normaltextrun"/>
          <w:rFonts w:ascii="Calibri" w:eastAsiaTheme="majorEastAsia" w:hAnsi="Calibri"/>
          <w:color w:val="00183D"/>
          <w:sz w:val="21"/>
          <w:lang w:val="el-GR"/>
        </w:rPr>
        <w:t xml:space="preserve"> 2021 που διοργανώθηκ</w:t>
      </w:r>
      <w:r w:rsidR="003101F2">
        <w:rPr>
          <w:rStyle w:val="normaltextrun"/>
          <w:rFonts w:ascii="Calibri" w:eastAsiaTheme="majorEastAsia" w:hAnsi="Calibri"/>
          <w:color w:val="00183D"/>
          <w:sz w:val="21"/>
          <w:lang w:val="el-GR"/>
        </w:rPr>
        <w:t>αν</w:t>
      </w:r>
      <w:r w:rsidRPr="004B1BCD">
        <w:rPr>
          <w:rStyle w:val="normaltextrun"/>
          <w:rFonts w:ascii="Calibri" w:eastAsiaTheme="majorEastAsia" w:hAnsi="Calibri"/>
          <w:color w:val="00183D"/>
          <w:sz w:val="21"/>
          <w:lang w:val="el-GR"/>
        </w:rPr>
        <w:t xml:space="preserve"> από το Ίδρυμα </w:t>
      </w:r>
      <w:proofErr w:type="spellStart"/>
      <w:r>
        <w:rPr>
          <w:rStyle w:val="normaltextrun"/>
          <w:rFonts w:ascii="Calibri" w:eastAsiaTheme="majorEastAsia" w:hAnsi="Calibri"/>
          <w:color w:val="00183D"/>
          <w:sz w:val="21"/>
        </w:rPr>
        <w:t>QualityNet</w:t>
      </w:r>
      <w:proofErr w:type="spellEnd"/>
      <w:r w:rsidRPr="004B1BCD">
        <w:rPr>
          <w:rStyle w:val="normaltextrun"/>
          <w:rFonts w:ascii="Calibri" w:eastAsiaTheme="majorEastAsia" w:hAnsi="Calibri"/>
          <w:color w:val="00183D"/>
          <w:sz w:val="21"/>
          <w:lang w:val="el-GR"/>
        </w:rPr>
        <w:t xml:space="preserve">. Ο ΤΙΤΑΝ έλαβε δύο βραβεία, ένα για τους νέους στόχους </w:t>
      </w:r>
      <w:r>
        <w:rPr>
          <w:rStyle w:val="normaltextrun"/>
          <w:rFonts w:ascii="Calibri" w:eastAsiaTheme="majorEastAsia" w:hAnsi="Calibri"/>
          <w:color w:val="00183D"/>
          <w:sz w:val="21"/>
        </w:rPr>
        <w:t>ESG</w:t>
      </w:r>
      <w:r w:rsidRPr="004B1BCD">
        <w:rPr>
          <w:rStyle w:val="normaltextrun"/>
          <w:rFonts w:ascii="Calibri" w:eastAsiaTheme="majorEastAsia" w:hAnsi="Calibri"/>
          <w:color w:val="00183D"/>
          <w:sz w:val="21"/>
          <w:lang w:val="el-GR"/>
        </w:rPr>
        <w:t xml:space="preserve"> που έθεσε και ένα για τη δημιουργία του πρώτου </w:t>
      </w:r>
      <w:proofErr w:type="spellStart"/>
      <w:r w:rsidRPr="004B1BCD">
        <w:rPr>
          <w:rStyle w:val="normaltextrun"/>
          <w:rFonts w:ascii="Calibri" w:eastAsiaTheme="majorEastAsia" w:hAnsi="Calibri"/>
          <w:color w:val="00183D"/>
          <w:sz w:val="21"/>
          <w:lang w:val="el-GR"/>
        </w:rPr>
        <w:t>φαινολογικού</w:t>
      </w:r>
      <w:proofErr w:type="spellEnd"/>
      <w:r w:rsidRPr="004B1BCD">
        <w:rPr>
          <w:rStyle w:val="normaltextrun"/>
          <w:rFonts w:ascii="Calibri" w:eastAsiaTheme="majorEastAsia" w:hAnsi="Calibri"/>
          <w:color w:val="00183D"/>
          <w:sz w:val="21"/>
          <w:lang w:val="el-GR"/>
        </w:rPr>
        <w:t xml:space="preserve"> κήπου στην Ελλάδα, σε συνεργασία με το Αριστοτέλειο Πανεπιστήμιο </w:t>
      </w:r>
      <w:r w:rsidRPr="004B1BCD">
        <w:rPr>
          <w:rFonts w:ascii="Calibri" w:hAnsi="Calibri"/>
          <w:color w:val="00183D"/>
          <w:sz w:val="21"/>
          <w:lang w:val="el-GR"/>
        </w:rPr>
        <w:t>Θεσσαλονίκης.</w:t>
      </w:r>
    </w:p>
    <w:p w14:paraId="5142E362" w14:textId="77777777" w:rsidR="004B1BCD" w:rsidRPr="004B1BCD" w:rsidRDefault="004B1BCD" w:rsidP="004B1BCD">
      <w:pPr>
        <w:jc w:val="both"/>
        <w:rPr>
          <w:rFonts w:ascii="Calibri" w:eastAsia="Calibri" w:hAnsi="Calibri" w:cs="Calibri"/>
          <w:color w:val="00183D"/>
          <w:sz w:val="16"/>
          <w:szCs w:val="21"/>
          <w:lang w:val="el-GR"/>
        </w:rPr>
      </w:pPr>
    </w:p>
    <w:p w14:paraId="5142E363" w14:textId="77777777" w:rsidR="004B1BCD" w:rsidRPr="004B1BCD" w:rsidRDefault="004B1BCD" w:rsidP="004B1BCD">
      <w:pPr>
        <w:jc w:val="both"/>
        <w:rPr>
          <w:rFonts w:ascii="Calibri" w:hAnsi="Calibri"/>
          <w:color w:val="00183D"/>
          <w:sz w:val="21"/>
          <w:lang w:val="el-GR"/>
        </w:rPr>
      </w:pPr>
      <w:r w:rsidRPr="004B1BCD">
        <w:rPr>
          <w:rFonts w:ascii="Calibri" w:hAnsi="Calibri"/>
          <w:color w:val="00183D"/>
          <w:sz w:val="21"/>
          <w:lang w:val="el-GR"/>
        </w:rPr>
        <w:t xml:space="preserve">Αναγνωρίζοντας τη συνεχή βελτίωση των επιδόσεων του Τιτάνα σε θέματα περιβάλλοντος, κοινωνίας και διακυβέρνησης, η </w:t>
      </w:r>
      <w:r>
        <w:rPr>
          <w:rFonts w:ascii="Calibri" w:hAnsi="Calibri"/>
          <w:color w:val="00183D"/>
          <w:sz w:val="21"/>
        </w:rPr>
        <w:t>MSCI</w:t>
      </w:r>
      <w:r w:rsidRPr="004B1BCD">
        <w:rPr>
          <w:rFonts w:ascii="Calibri" w:hAnsi="Calibri"/>
          <w:color w:val="00183D"/>
          <w:sz w:val="21"/>
          <w:lang w:val="el-GR"/>
        </w:rPr>
        <w:t xml:space="preserve"> αναβάθμισε την αξιολόγηση </w:t>
      </w:r>
      <w:r>
        <w:rPr>
          <w:rFonts w:ascii="Calibri" w:hAnsi="Calibri"/>
          <w:color w:val="00183D"/>
          <w:sz w:val="21"/>
        </w:rPr>
        <w:t>ESG</w:t>
      </w:r>
      <w:r w:rsidRPr="004B1BCD">
        <w:rPr>
          <w:rFonts w:ascii="Calibri" w:hAnsi="Calibri"/>
          <w:color w:val="00183D"/>
          <w:sz w:val="21"/>
          <w:lang w:val="el-GR"/>
        </w:rPr>
        <w:t xml:space="preserve"> του Ομίλου σε ΑΑ. </w:t>
      </w:r>
    </w:p>
    <w:p w14:paraId="5142E364" w14:textId="77777777" w:rsidR="004B1BCD" w:rsidRPr="004B1BCD" w:rsidRDefault="004B1BCD" w:rsidP="004B1BCD">
      <w:pPr>
        <w:jc w:val="both"/>
        <w:rPr>
          <w:rFonts w:ascii="Calibri" w:hAnsi="Calibri"/>
          <w:color w:val="00183D"/>
          <w:sz w:val="16"/>
          <w:lang w:val="el-GR"/>
        </w:rPr>
      </w:pPr>
    </w:p>
    <w:p w14:paraId="5142E365" w14:textId="589498BD" w:rsidR="004B1BCD" w:rsidRPr="004B1BCD" w:rsidRDefault="004B1BCD" w:rsidP="004B1BCD">
      <w:pPr>
        <w:jc w:val="both"/>
        <w:rPr>
          <w:rFonts w:ascii="Calibri" w:eastAsia="Calibri" w:hAnsi="Calibri" w:cs="Calibri"/>
          <w:color w:val="00183D"/>
          <w:sz w:val="21"/>
          <w:szCs w:val="21"/>
          <w:lang w:val="el-GR"/>
        </w:rPr>
      </w:pPr>
      <w:r w:rsidRPr="004B1BCD">
        <w:rPr>
          <w:rFonts w:ascii="Calibri" w:eastAsia="Calibri" w:hAnsi="Calibri" w:cs="Calibri"/>
          <w:color w:val="00183D"/>
          <w:sz w:val="21"/>
          <w:szCs w:val="21"/>
          <w:lang w:val="el-GR"/>
        </w:rPr>
        <w:t>Η προτεινομένη δέσμη μέτρων “</w:t>
      </w:r>
      <w:r>
        <w:rPr>
          <w:rFonts w:ascii="Calibri" w:eastAsia="Calibri" w:hAnsi="Calibri" w:cs="Calibri"/>
          <w:color w:val="00183D"/>
          <w:sz w:val="21"/>
          <w:szCs w:val="21"/>
        </w:rPr>
        <w:t>Fit</w:t>
      </w:r>
      <w:r w:rsidRPr="004B1BCD">
        <w:rPr>
          <w:rFonts w:ascii="Calibri" w:eastAsia="Calibri" w:hAnsi="Calibri" w:cs="Calibri"/>
          <w:color w:val="00183D"/>
          <w:sz w:val="21"/>
          <w:szCs w:val="21"/>
          <w:lang w:val="el-GR"/>
        </w:rPr>
        <w:t xml:space="preserve"> </w:t>
      </w:r>
      <w:r>
        <w:rPr>
          <w:rFonts w:ascii="Calibri" w:eastAsia="Calibri" w:hAnsi="Calibri" w:cs="Calibri"/>
          <w:color w:val="00183D"/>
          <w:sz w:val="21"/>
          <w:szCs w:val="21"/>
        </w:rPr>
        <w:t>for</w:t>
      </w:r>
      <w:r w:rsidRPr="004B1BCD">
        <w:rPr>
          <w:rFonts w:ascii="Calibri" w:eastAsia="Calibri" w:hAnsi="Calibri" w:cs="Calibri"/>
          <w:color w:val="00183D"/>
          <w:sz w:val="21"/>
          <w:szCs w:val="21"/>
          <w:lang w:val="el-GR"/>
        </w:rPr>
        <w:t xml:space="preserve"> 55” σχετικά με τη μείωση των εκπομπών της ΕΕ κατά τουλάχιστον 55% μέχρι το 2030, παρουσιάστηκε από την Ευρωπαϊκή Επιτροπή στις 14 Ιουλίου και τέθηκε σε διαβούλευση από το Ευρωπαϊκό κοινοβούλιο και τα κράτη-μέλη</w:t>
      </w:r>
      <w:r w:rsidR="003101F2">
        <w:rPr>
          <w:rFonts w:ascii="Calibri" w:eastAsia="Calibri" w:hAnsi="Calibri" w:cs="Calibri"/>
          <w:color w:val="00183D"/>
          <w:sz w:val="21"/>
          <w:szCs w:val="21"/>
          <w:lang w:val="el-GR"/>
        </w:rPr>
        <w:t xml:space="preserve"> και</w:t>
      </w:r>
      <w:r w:rsidRPr="004B1BCD">
        <w:rPr>
          <w:rFonts w:ascii="Calibri" w:eastAsia="Calibri" w:hAnsi="Calibri" w:cs="Calibri"/>
          <w:color w:val="00183D"/>
          <w:sz w:val="21"/>
          <w:szCs w:val="21"/>
          <w:lang w:val="el-GR"/>
        </w:rPr>
        <w:t xml:space="preserve"> αναμένεται να ολοκληρωθεί στο δεύτερο εξάμηνο του 2022. Η τελική μορφή αυτής της δέσμης μέτρων δεν είναι ακόμα καθορισμένη και δεν αναμένεται να έχει άμεσο αντίκτυπο στις δραστηριότητες μας στα ευρωπαϊκά κράτη-μέλη, Ελλάδα και Βουλγαρία, για τα αμέσως επόμενα έτη.</w:t>
      </w:r>
    </w:p>
    <w:p w14:paraId="5142E366" w14:textId="77777777" w:rsidR="004415BB" w:rsidRDefault="004415BB" w:rsidP="00BD5563">
      <w:pPr>
        <w:pStyle w:val="C"/>
        <w:spacing w:line="240" w:lineRule="auto"/>
        <w:jc w:val="both"/>
        <w:rPr>
          <w:rFonts w:eastAsia="Calibri" w:cs="Calibri"/>
          <w:noProof/>
          <w:lang w:val="el-GR" w:eastAsia="el-GR"/>
        </w:rPr>
      </w:pPr>
    </w:p>
    <w:p w14:paraId="5142E367" w14:textId="77777777" w:rsidR="00BD5563" w:rsidRPr="00446696" w:rsidRDefault="00BD5563" w:rsidP="00BD5563">
      <w:pPr>
        <w:pStyle w:val="C"/>
        <w:spacing w:line="240" w:lineRule="auto"/>
        <w:jc w:val="both"/>
        <w:rPr>
          <w:rFonts w:eastAsia="Calibri" w:cs="Calibri"/>
          <w:noProof/>
          <w:lang w:val="el-GR" w:eastAsia="el-GR"/>
        </w:rPr>
      </w:pPr>
      <w:r w:rsidRPr="00446696">
        <w:rPr>
          <w:rFonts w:eastAsia="Calibri" w:cs="Calibri"/>
          <w:noProof/>
          <w:lang w:val="en-US"/>
        </w:rPr>
        <w:lastRenderedPageBreak/>
        <mc:AlternateContent>
          <mc:Choice Requires="wps">
            <w:drawing>
              <wp:anchor distT="0" distB="0" distL="114300" distR="114300" simplePos="0" relativeHeight="251658246" behindDoc="0" locked="0" layoutInCell="1" allowOverlap="1" wp14:anchorId="5142E650" wp14:editId="5142E651">
                <wp:simplePos x="0" y="0"/>
                <wp:positionH relativeFrom="column">
                  <wp:posOffset>-5715</wp:posOffset>
                </wp:positionH>
                <wp:positionV relativeFrom="paragraph">
                  <wp:posOffset>234315</wp:posOffset>
                </wp:positionV>
                <wp:extent cx="6146800" cy="18415"/>
                <wp:effectExtent l="0" t="0" r="2159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0" cy="18415"/>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3878FB59" id="Straight Connector 1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45pt" to="483.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" strokecolor="#00183d" strokeweight=".25pt">
                <o:lock v:ext="edit" shapetype="f"/>
              </v:line>
            </w:pict>
          </mc:Fallback>
        </mc:AlternateContent>
      </w:r>
      <w:r w:rsidRPr="00446696">
        <w:rPr>
          <w:rFonts w:eastAsia="Calibri" w:cs="Calibri"/>
          <w:noProof/>
          <w:lang w:val="el-GR" w:eastAsia="el-GR"/>
        </w:rPr>
        <w:t>Προοπτικές</w:t>
      </w:r>
      <w:r w:rsidR="00D760FC" w:rsidRPr="00446696">
        <w:rPr>
          <w:rFonts w:eastAsia="Calibri" w:cs="Calibri"/>
          <w:noProof/>
          <w:lang w:val="el-GR" w:eastAsia="el-GR"/>
        </w:rPr>
        <w:t xml:space="preserve"> </w:t>
      </w:r>
    </w:p>
    <w:p w14:paraId="5142E368" w14:textId="5BBB23CC" w:rsidR="004415BB" w:rsidRDefault="00C302A2" w:rsidP="001806CD">
      <w:pPr>
        <w:pStyle w:val="BodyText"/>
        <w:tabs>
          <w:tab w:val="left" w:pos="8100"/>
          <w:tab w:val="left" w:pos="8280"/>
        </w:tabs>
        <w:spacing w:before="197"/>
        <w:ind w:left="0" w:right="-142"/>
        <w:jc w:val="both"/>
      </w:pPr>
      <w:r>
        <w:rPr>
          <w:color w:val="00173C"/>
          <w:lang w:val="en-US"/>
        </w:rPr>
        <w:t>H</w:t>
      </w:r>
      <w:r w:rsidRPr="00C302A2">
        <w:rPr>
          <w:color w:val="00173C"/>
        </w:rPr>
        <w:t xml:space="preserve"> </w:t>
      </w:r>
      <w:r>
        <w:rPr>
          <w:color w:val="00173C"/>
        </w:rPr>
        <w:t>κατασκευαστική δραστηριότητα αποδείχτηκε ανθεκτική παρά τις αντίξοες συνθήκες</w:t>
      </w:r>
      <w:r w:rsidR="003673D2">
        <w:rPr>
          <w:color w:val="00173C"/>
        </w:rPr>
        <w:t xml:space="preserve"> </w:t>
      </w:r>
      <w:r>
        <w:rPr>
          <w:color w:val="00173C"/>
        </w:rPr>
        <w:t>λόγω της επιδημ</w:t>
      </w:r>
      <w:r w:rsidR="00D25727">
        <w:rPr>
          <w:color w:val="00173C"/>
        </w:rPr>
        <w:t xml:space="preserve">ίας του </w:t>
      </w:r>
      <w:proofErr w:type="spellStart"/>
      <w:r w:rsidR="00D25727">
        <w:rPr>
          <w:color w:val="00173C"/>
        </w:rPr>
        <w:t>κορονοϊού</w:t>
      </w:r>
      <w:proofErr w:type="spellEnd"/>
      <w:r w:rsidR="00D25727">
        <w:rPr>
          <w:color w:val="00173C"/>
        </w:rPr>
        <w:t xml:space="preserve">. </w:t>
      </w:r>
      <w:r w:rsidR="00EA19F6">
        <w:rPr>
          <w:color w:val="00173C"/>
        </w:rPr>
        <w:t xml:space="preserve">Με την παραδοχή </w:t>
      </w:r>
      <w:r w:rsidR="00A9082D">
        <w:rPr>
          <w:color w:val="00173C"/>
        </w:rPr>
        <w:t xml:space="preserve">ότι </w:t>
      </w:r>
      <w:r w:rsidR="004415BB">
        <w:rPr>
          <w:color w:val="00173C"/>
        </w:rPr>
        <w:t xml:space="preserve">η χειρότερη φάση της </w:t>
      </w:r>
      <w:r w:rsidR="00D25727">
        <w:rPr>
          <w:color w:val="00173C"/>
        </w:rPr>
        <w:t>παγκόσμια</w:t>
      </w:r>
      <w:r w:rsidR="00472136">
        <w:rPr>
          <w:color w:val="00173C"/>
        </w:rPr>
        <w:t>ς</w:t>
      </w:r>
      <w:r w:rsidR="00D25727">
        <w:rPr>
          <w:color w:val="00173C"/>
        </w:rPr>
        <w:t xml:space="preserve"> </w:t>
      </w:r>
      <w:r w:rsidR="004415BB">
        <w:rPr>
          <w:color w:val="00173C"/>
        </w:rPr>
        <w:t>πανδημία</w:t>
      </w:r>
      <w:r w:rsidR="00472136">
        <w:rPr>
          <w:color w:val="00173C"/>
        </w:rPr>
        <w:t>ς</w:t>
      </w:r>
      <w:r w:rsidR="00A9082D">
        <w:rPr>
          <w:color w:val="00173C"/>
        </w:rPr>
        <w:t xml:space="preserve"> έχει περάσει</w:t>
      </w:r>
      <w:r w:rsidR="00A14800" w:rsidRPr="00A14800">
        <w:rPr>
          <w:color w:val="00173C"/>
        </w:rPr>
        <w:t xml:space="preserve">, </w:t>
      </w:r>
      <w:r w:rsidR="00A9082D">
        <w:rPr>
          <w:color w:val="00173C"/>
        </w:rPr>
        <w:t xml:space="preserve">οι προοπτικές των αγορών </w:t>
      </w:r>
      <w:r w:rsidR="00A9674F">
        <w:rPr>
          <w:color w:val="00173C"/>
        </w:rPr>
        <w:t>και η δυναμική της ζήτησης είναι σ</w:t>
      </w:r>
      <w:r w:rsidR="00A9082D">
        <w:rPr>
          <w:color w:val="00173C"/>
        </w:rPr>
        <w:t>ε θέση να στηρίξουν την ανάπτυξη</w:t>
      </w:r>
      <w:r w:rsidR="00A9674F">
        <w:rPr>
          <w:color w:val="00173C"/>
        </w:rPr>
        <w:t xml:space="preserve"> το 2021 κι έπειτα. </w:t>
      </w:r>
      <w:r w:rsidR="00F233C9">
        <w:rPr>
          <w:color w:val="00173C"/>
        </w:rPr>
        <w:t xml:space="preserve">Συγχρόνως όμως η λειτουργική κερδοφορία περιορίζεται από την </w:t>
      </w:r>
      <w:r w:rsidR="00472136">
        <w:rPr>
          <w:color w:val="00173C"/>
        </w:rPr>
        <w:t>εκτίναξη των ναύλων και των τι</w:t>
      </w:r>
      <w:r w:rsidR="00F233C9">
        <w:rPr>
          <w:color w:val="00173C"/>
        </w:rPr>
        <w:t xml:space="preserve">μών ενέργειας όπως επίσης και </w:t>
      </w:r>
      <w:r w:rsidR="00CD250C">
        <w:rPr>
          <w:color w:val="00173C"/>
        </w:rPr>
        <w:t xml:space="preserve">από </w:t>
      </w:r>
      <w:r w:rsidR="00F233C9">
        <w:rPr>
          <w:color w:val="00173C"/>
        </w:rPr>
        <w:t xml:space="preserve">τις δυσκολίες που παρατηρούνται στην εύρυθμη λειτουργία της εφοδιαστικής αλυσίδας </w:t>
      </w:r>
      <w:r w:rsidR="004415BB">
        <w:rPr>
          <w:color w:val="00173C"/>
        </w:rPr>
        <w:t xml:space="preserve">λόγω της </w:t>
      </w:r>
      <w:r w:rsidR="00F233C9">
        <w:rPr>
          <w:color w:val="00173C"/>
        </w:rPr>
        <w:t>απότομης</w:t>
      </w:r>
      <w:r w:rsidR="004415BB">
        <w:rPr>
          <w:color w:val="00173C"/>
        </w:rPr>
        <w:t xml:space="preserve"> ανάκαμψης της </w:t>
      </w:r>
      <w:r w:rsidR="00CD250C">
        <w:rPr>
          <w:color w:val="00173C"/>
        </w:rPr>
        <w:t xml:space="preserve">οικονομικής </w:t>
      </w:r>
      <w:r w:rsidR="004415BB">
        <w:rPr>
          <w:color w:val="00173C"/>
        </w:rPr>
        <w:t>δραστ</w:t>
      </w:r>
      <w:r w:rsidR="00472136">
        <w:rPr>
          <w:color w:val="00173C"/>
        </w:rPr>
        <w:t>ηριό</w:t>
      </w:r>
      <w:r w:rsidR="00F233C9">
        <w:rPr>
          <w:color w:val="00173C"/>
        </w:rPr>
        <w:t>τητας.</w:t>
      </w:r>
    </w:p>
    <w:p w14:paraId="5142E369" w14:textId="77777777" w:rsidR="004415BB" w:rsidRPr="004415BB" w:rsidRDefault="004415BB" w:rsidP="001806CD">
      <w:pPr>
        <w:tabs>
          <w:tab w:val="left" w:pos="8100"/>
          <w:tab w:val="left" w:pos="8280"/>
        </w:tabs>
        <w:spacing w:before="17" w:line="240" w:lineRule="exact"/>
        <w:ind w:right="-142"/>
        <w:jc w:val="both"/>
        <w:rPr>
          <w:lang w:val="el-GR"/>
        </w:rPr>
      </w:pPr>
    </w:p>
    <w:p w14:paraId="5142E36A" w14:textId="0A83CC96" w:rsidR="004415BB" w:rsidRDefault="004415BB" w:rsidP="001806CD">
      <w:pPr>
        <w:pStyle w:val="BodyText"/>
        <w:tabs>
          <w:tab w:val="left" w:pos="8100"/>
          <w:tab w:val="left" w:pos="8280"/>
        </w:tabs>
        <w:ind w:left="0" w:right="-142"/>
        <w:jc w:val="both"/>
      </w:pPr>
      <w:r>
        <w:rPr>
          <w:color w:val="00173C"/>
        </w:rPr>
        <w:t>Στις ΗΠΑ</w:t>
      </w:r>
      <w:r w:rsidR="00E857A9" w:rsidRPr="00E857A9">
        <w:rPr>
          <w:color w:val="00173C"/>
        </w:rPr>
        <w:t xml:space="preserve"> </w:t>
      </w:r>
      <w:r w:rsidR="00E857A9">
        <w:rPr>
          <w:color w:val="00173C"/>
        </w:rPr>
        <w:t xml:space="preserve">οι δαπάνες για αγορά </w:t>
      </w:r>
      <w:r>
        <w:rPr>
          <w:color w:val="00173C"/>
        </w:rPr>
        <w:t xml:space="preserve">κατοικίας </w:t>
      </w:r>
      <w:r w:rsidR="00472136">
        <w:rPr>
          <w:color w:val="00173C"/>
        </w:rPr>
        <w:t xml:space="preserve">και </w:t>
      </w:r>
      <w:r w:rsidR="00E857A9">
        <w:rPr>
          <w:color w:val="00173C"/>
        </w:rPr>
        <w:t xml:space="preserve">έργα υποδομών εκτιμάται ότι θα </w:t>
      </w:r>
      <w:r w:rsidR="003673D2">
        <w:rPr>
          <w:color w:val="00173C"/>
        </w:rPr>
        <w:t>εξακολουθήσουν</w:t>
      </w:r>
      <w:r w:rsidR="00E857A9">
        <w:rPr>
          <w:color w:val="00173C"/>
        </w:rPr>
        <w:t xml:space="preserve"> να οδηγούν σε αύξηση της ζήτησης. </w:t>
      </w:r>
      <w:r w:rsidR="0052474D">
        <w:rPr>
          <w:color w:val="00173C"/>
        </w:rPr>
        <w:t xml:space="preserve">Τα προς εκτέλεση έργα της </w:t>
      </w:r>
      <w:r w:rsidR="00E857A9">
        <w:rPr>
          <w:color w:val="00173C"/>
          <w:lang w:val="en-US"/>
        </w:rPr>
        <w:t>TITAN</w:t>
      </w:r>
      <w:r w:rsidR="00E857A9" w:rsidRPr="00E857A9">
        <w:rPr>
          <w:color w:val="00173C"/>
        </w:rPr>
        <w:t xml:space="preserve"> </w:t>
      </w:r>
      <w:r w:rsidR="00E857A9">
        <w:rPr>
          <w:color w:val="00173C"/>
          <w:lang w:val="en-US"/>
        </w:rPr>
        <w:t>America</w:t>
      </w:r>
      <w:r w:rsidR="00F921B2">
        <w:rPr>
          <w:color w:val="00173C"/>
        </w:rPr>
        <w:t xml:space="preserve"> </w:t>
      </w:r>
      <w:r w:rsidR="0052474D">
        <w:rPr>
          <w:color w:val="00173C"/>
        </w:rPr>
        <w:t xml:space="preserve">είναι ήδη πολυπληθή και </w:t>
      </w:r>
      <w:r w:rsidR="00F921B2">
        <w:rPr>
          <w:color w:val="00173C"/>
        </w:rPr>
        <w:t>αυξάν</w:t>
      </w:r>
      <w:r w:rsidR="0052474D">
        <w:rPr>
          <w:color w:val="00173C"/>
        </w:rPr>
        <w:t>ονται</w:t>
      </w:r>
      <w:r w:rsidR="00F921B2">
        <w:rPr>
          <w:color w:val="00173C"/>
        </w:rPr>
        <w:t xml:space="preserve"> περαιτέρω</w:t>
      </w:r>
      <w:r w:rsidR="00E857A9">
        <w:rPr>
          <w:color w:val="00173C"/>
        </w:rPr>
        <w:t xml:space="preserve">. </w:t>
      </w:r>
      <w:r>
        <w:rPr>
          <w:color w:val="00173C"/>
        </w:rPr>
        <w:t>Παράλληλα</w:t>
      </w:r>
      <w:r w:rsidR="00EA5417">
        <w:rPr>
          <w:color w:val="00173C"/>
        </w:rPr>
        <w:t xml:space="preserve"> όμως</w:t>
      </w:r>
      <w:r>
        <w:rPr>
          <w:color w:val="00173C"/>
        </w:rPr>
        <w:t xml:space="preserve">, η έλλειψη </w:t>
      </w:r>
      <w:r w:rsidR="0052474D">
        <w:rPr>
          <w:color w:val="00173C"/>
        </w:rPr>
        <w:t xml:space="preserve">εξειδικευμένου </w:t>
      </w:r>
      <w:r>
        <w:rPr>
          <w:color w:val="00173C"/>
        </w:rPr>
        <w:t xml:space="preserve">εργατικού δυναμικού, </w:t>
      </w:r>
      <w:r w:rsidR="008D5122">
        <w:rPr>
          <w:color w:val="00173C"/>
        </w:rPr>
        <w:t>οι δυσκολίες εφοδιασμού</w:t>
      </w:r>
      <w:r w:rsidR="00F03822">
        <w:rPr>
          <w:color w:val="00173C"/>
        </w:rPr>
        <w:t xml:space="preserve"> και τ</w:t>
      </w:r>
      <w:r w:rsidR="00EA19F6">
        <w:rPr>
          <w:color w:val="00173C"/>
        </w:rPr>
        <w:t>ο</w:t>
      </w:r>
      <w:r w:rsidR="00F03822">
        <w:rPr>
          <w:color w:val="00173C"/>
        </w:rPr>
        <w:t xml:space="preserve"> αυξανόμεν</w:t>
      </w:r>
      <w:r w:rsidR="00EA19F6">
        <w:rPr>
          <w:color w:val="00173C"/>
        </w:rPr>
        <w:t>ο</w:t>
      </w:r>
      <w:r w:rsidR="00F03822">
        <w:rPr>
          <w:color w:val="00173C"/>
        </w:rPr>
        <w:t xml:space="preserve"> κόστ</w:t>
      </w:r>
      <w:r w:rsidR="00EA19F6">
        <w:rPr>
          <w:color w:val="00173C"/>
        </w:rPr>
        <w:t>ος</w:t>
      </w:r>
      <w:r w:rsidR="00F03822">
        <w:rPr>
          <w:color w:val="00173C"/>
        </w:rPr>
        <w:t xml:space="preserve"> </w:t>
      </w:r>
      <w:r w:rsidR="008C624A">
        <w:rPr>
          <w:color w:val="00173C"/>
        </w:rPr>
        <w:t>επηρεάζουν όλη την α</w:t>
      </w:r>
      <w:r w:rsidR="008C624A" w:rsidRPr="008C624A">
        <w:rPr>
          <w:color w:val="00173C"/>
        </w:rPr>
        <w:t>λυσίδα προστιθέμενης αξίας του κλάδου</w:t>
      </w:r>
      <w:r w:rsidR="00847F87">
        <w:rPr>
          <w:color w:val="00173C"/>
        </w:rPr>
        <w:t xml:space="preserve">. </w:t>
      </w:r>
      <w:r>
        <w:rPr>
          <w:color w:val="00173C"/>
        </w:rPr>
        <w:t xml:space="preserve"> </w:t>
      </w:r>
    </w:p>
    <w:p w14:paraId="5142E36B" w14:textId="77777777" w:rsidR="004415BB" w:rsidRPr="004415BB" w:rsidRDefault="004415BB" w:rsidP="001806CD">
      <w:pPr>
        <w:tabs>
          <w:tab w:val="left" w:pos="8100"/>
          <w:tab w:val="left" w:pos="8280"/>
        </w:tabs>
        <w:spacing w:before="18" w:line="240" w:lineRule="exact"/>
        <w:ind w:right="-142"/>
        <w:jc w:val="both"/>
        <w:rPr>
          <w:lang w:val="el-GR"/>
        </w:rPr>
      </w:pPr>
    </w:p>
    <w:p w14:paraId="5142E36C" w14:textId="7D4C5847" w:rsidR="004415BB" w:rsidRDefault="004415BB" w:rsidP="001806CD">
      <w:pPr>
        <w:pStyle w:val="BodyText"/>
        <w:tabs>
          <w:tab w:val="left" w:pos="8100"/>
          <w:tab w:val="left" w:pos="8280"/>
        </w:tabs>
        <w:ind w:left="0" w:right="-142"/>
        <w:jc w:val="both"/>
      </w:pPr>
      <w:r>
        <w:rPr>
          <w:color w:val="00173C"/>
        </w:rPr>
        <w:t xml:space="preserve">Στην Ελλάδα </w:t>
      </w:r>
      <w:r w:rsidR="00427369">
        <w:rPr>
          <w:color w:val="00173C"/>
        </w:rPr>
        <w:t>η ζήτηση είναι σε αναπτυξιακή πορεία, χάρη στην ανάκαμψη της αγοράς κατοικίας στα κύρια αστικά κέντρα</w:t>
      </w:r>
      <w:r>
        <w:rPr>
          <w:color w:val="00173C"/>
        </w:rPr>
        <w:t xml:space="preserve">, </w:t>
      </w:r>
      <w:r w:rsidR="000E1D42">
        <w:rPr>
          <w:color w:val="00173C"/>
        </w:rPr>
        <w:t>σε συνδυασμό</w:t>
      </w:r>
      <w:r>
        <w:rPr>
          <w:color w:val="00173C"/>
        </w:rPr>
        <w:t xml:space="preserve"> με</w:t>
      </w:r>
      <w:r w:rsidR="00427369" w:rsidRPr="00427369">
        <w:rPr>
          <w:color w:val="00173C"/>
        </w:rPr>
        <w:t xml:space="preserve"> </w:t>
      </w:r>
      <w:r w:rsidR="00427369">
        <w:rPr>
          <w:color w:val="00173C"/>
        </w:rPr>
        <w:t xml:space="preserve">πολλά περιφερειακά έργα υποδομών σε όλη την χώρα. </w:t>
      </w:r>
      <w:r>
        <w:rPr>
          <w:color w:val="00173C"/>
        </w:rPr>
        <w:t xml:space="preserve">Αξίζει να σημειωθεί ότι η ανάκαμψη της ελληνικής αγοράς συντελείται μέχρι στιγμής χωρίς </w:t>
      </w:r>
      <w:r w:rsidR="00427369">
        <w:rPr>
          <w:color w:val="00173C"/>
        </w:rPr>
        <w:t>τη</w:t>
      </w:r>
      <w:r>
        <w:rPr>
          <w:color w:val="00173C"/>
        </w:rPr>
        <w:t xml:space="preserve"> συμβολή των μεγάλων έργων υποδομής που έχουν προγραμματιστεί. Τα εν λόγω έργα εκτιμάται ότι θα τονώσουν </w:t>
      </w:r>
      <w:r w:rsidR="00C31045">
        <w:rPr>
          <w:color w:val="00173C"/>
        </w:rPr>
        <w:t>τη ζήτηση δομικών υλικών</w:t>
      </w:r>
      <w:r>
        <w:rPr>
          <w:color w:val="00173C"/>
        </w:rPr>
        <w:t xml:space="preserve"> προς τα τέλη του έτους </w:t>
      </w:r>
      <w:r w:rsidR="008A1ACC">
        <w:rPr>
          <w:color w:val="00173C"/>
        </w:rPr>
        <w:t>-</w:t>
      </w:r>
      <w:r>
        <w:rPr>
          <w:color w:val="00173C"/>
        </w:rPr>
        <w:t xml:space="preserve"> αρχές του 2022, θέτοντας τα θεμέλ</w:t>
      </w:r>
      <w:r w:rsidR="008A1ACC">
        <w:rPr>
          <w:color w:val="00173C"/>
        </w:rPr>
        <w:t xml:space="preserve">ια για </w:t>
      </w:r>
      <w:r>
        <w:rPr>
          <w:color w:val="00173C"/>
        </w:rPr>
        <w:t xml:space="preserve">ανάπτυξη </w:t>
      </w:r>
      <w:r w:rsidR="008A1ACC">
        <w:rPr>
          <w:color w:val="00173C"/>
        </w:rPr>
        <w:t xml:space="preserve">τα επόμενα </w:t>
      </w:r>
      <w:r>
        <w:rPr>
          <w:color w:val="00173C"/>
        </w:rPr>
        <w:t>χρόνια. Ο Όμιλ</w:t>
      </w:r>
      <w:r w:rsidR="00A92658">
        <w:rPr>
          <w:color w:val="00173C"/>
        </w:rPr>
        <w:t>ος θα συνεχίσει να αξιοποιεί το</w:t>
      </w:r>
      <w:r>
        <w:rPr>
          <w:color w:val="00173C"/>
        </w:rPr>
        <w:t xml:space="preserve"> </w:t>
      </w:r>
      <w:r w:rsidR="00EA19F6">
        <w:rPr>
          <w:color w:val="00173C"/>
        </w:rPr>
        <w:t xml:space="preserve">διεθνές </w:t>
      </w:r>
      <w:r>
        <w:rPr>
          <w:color w:val="00173C"/>
        </w:rPr>
        <w:t>εμπορικό δίκτυο που διαθέτει προκειμένου να μεγιστοποιήσει τα οφέλη της δυναμικής που διαμορφώνεται από την προσφορά και τη ζήτηση σε όλες τις περιοχές στις οποίες δραστηριοποιείται. Ωστόσο, η στενότητα που παρατηρείται σήμερα στην αγορά διακίνη</w:t>
      </w:r>
      <w:r w:rsidR="00956A5F">
        <w:rPr>
          <w:color w:val="00173C"/>
        </w:rPr>
        <w:t xml:space="preserve">σης εμπορευμάτων </w:t>
      </w:r>
      <w:r>
        <w:rPr>
          <w:color w:val="00173C"/>
        </w:rPr>
        <w:t xml:space="preserve">και </w:t>
      </w:r>
      <w:r w:rsidR="002204C7">
        <w:rPr>
          <w:color w:val="00173C"/>
        </w:rPr>
        <w:t>η</w:t>
      </w:r>
      <w:r>
        <w:rPr>
          <w:color w:val="00173C"/>
        </w:rPr>
        <w:t xml:space="preserve"> </w:t>
      </w:r>
      <w:r w:rsidR="002204C7">
        <w:rPr>
          <w:color w:val="00173C"/>
        </w:rPr>
        <w:t>εκτίναξη</w:t>
      </w:r>
      <w:r>
        <w:rPr>
          <w:color w:val="00173C"/>
        </w:rPr>
        <w:t xml:space="preserve"> των ναύλων, θα </w:t>
      </w:r>
      <w:r w:rsidR="002204C7">
        <w:rPr>
          <w:color w:val="00173C"/>
        </w:rPr>
        <w:t>επηρεάσουν</w:t>
      </w:r>
      <w:r>
        <w:rPr>
          <w:color w:val="00173C"/>
        </w:rPr>
        <w:t xml:space="preserve"> την κερδοφορία </w:t>
      </w:r>
      <w:r w:rsidR="00EA19F6">
        <w:rPr>
          <w:color w:val="00173C"/>
        </w:rPr>
        <w:t>των εξαγωγών</w:t>
      </w:r>
      <w:r>
        <w:rPr>
          <w:color w:val="00173C"/>
        </w:rPr>
        <w:t xml:space="preserve">, </w:t>
      </w:r>
      <w:r w:rsidR="00956A5F">
        <w:rPr>
          <w:color w:val="00173C"/>
        </w:rPr>
        <w:t xml:space="preserve">για όσο διάστημα διαρκέσουν </w:t>
      </w:r>
      <w:r>
        <w:rPr>
          <w:color w:val="00173C"/>
        </w:rPr>
        <w:t>αυτές οι συνθήκες.</w:t>
      </w:r>
    </w:p>
    <w:p w14:paraId="5142E36D" w14:textId="77777777" w:rsidR="004415BB" w:rsidRPr="004415BB" w:rsidRDefault="004415BB" w:rsidP="001806CD">
      <w:pPr>
        <w:tabs>
          <w:tab w:val="left" w:pos="8100"/>
          <w:tab w:val="left" w:pos="8280"/>
        </w:tabs>
        <w:spacing w:before="9" w:line="160" w:lineRule="exact"/>
        <w:ind w:right="-142"/>
        <w:jc w:val="both"/>
        <w:rPr>
          <w:sz w:val="16"/>
          <w:szCs w:val="16"/>
          <w:lang w:val="el-GR"/>
        </w:rPr>
      </w:pPr>
    </w:p>
    <w:p w14:paraId="5142E36E" w14:textId="77777777" w:rsidR="004415BB" w:rsidRDefault="004415BB" w:rsidP="001806CD">
      <w:pPr>
        <w:pStyle w:val="BodyText"/>
        <w:tabs>
          <w:tab w:val="left" w:pos="8100"/>
          <w:tab w:val="left" w:pos="8280"/>
        </w:tabs>
        <w:ind w:left="0" w:right="-142"/>
        <w:jc w:val="both"/>
      </w:pPr>
      <w:r>
        <w:rPr>
          <w:color w:val="00173C"/>
        </w:rPr>
        <w:t xml:space="preserve">Στη Νοτιοανατολική Ευρώπη </w:t>
      </w:r>
      <w:r w:rsidR="003E2ECA">
        <w:rPr>
          <w:color w:val="00173C"/>
        </w:rPr>
        <w:t xml:space="preserve">η δυναμική του κλάδου </w:t>
      </w:r>
      <w:r>
        <w:rPr>
          <w:color w:val="00173C"/>
        </w:rPr>
        <w:t xml:space="preserve">αναμένεται να διατηρηθεί. Η κατασκευαστική δραστηριότητα στην αγορά κατοικίας, τα ιδιωτικά έργα σε εμπορικά και βιομηχανικά ακίνητα, </w:t>
      </w:r>
      <w:r w:rsidR="00FA3787">
        <w:rPr>
          <w:color w:val="00173C"/>
        </w:rPr>
        <w:t xml:space="preserve">όπως </w:t>
      </w:r>
      <w:r>
        <w:rPr>
          <w:color w:val="00173C"/>
        </w:rPr>
        <w:t xml:space="preserve">και τα έργα υποδομής συνθέτουν συνδυαστικά το πλαίσιο της ζήτησης </w:t>
      </w:r>
      <w:r w:rsidR="00B2506C">
        <w:rPr>
          <w:color w:val="00173C"/>
        </w:rPr>
        <w:t xml:space="preserve">που </w:t>
      </w:r>
      <w:r>
        <w:rPr>
          <w:color w:val="00173C"/>
        </w:rPr>
        <w:t>ποικίλλει</w:t>
      </w:r>
      <w:r w:rsidR="002924F4">
        <w:rPr>
          <w:color w:val="00173C"/>
        </w:rPr>
        <w:t xml:space="preserve"> ανά χώρα. </w:t>
      </w:r>
      <w:r>
        <w:rPr>
          <w:color w:val="00173C"/>
        </w:rPr>
        <w:t xml:space="preserve">Οι μακροοικονομικές συνθήκες παραμένουν ευνοϊκές, </w:t>
      </w:r>
      <w:r w:rsidR="002924F4">
        <w:rPr>
          <w:color w:val="00173C"/>
        </w:rPr>
        <w:t>με συνεχή</w:t>
      </w:r>
      <w:r>
        <w:rPr>
          <w:color w:val="00173C"/>
        </w:rPr>
        <w:t xml:space="preserve"> εισροή επενδύσεων στην περιοχή.</w:t>
      </w:r>
    </w:p>
    <w:p w14:paraId="5142E36F" w14:textId="77777777" w:rsidR="004415BB" w:rsidRPr="004415BB" w:rsidRDefault="004415BB" w:rsidP="001806CD">
      <w:pPr>
        <w:tabs>
          <w:tab w:val="left" w:pos="8100"/>
          <w:tab w:val="left" w:pos="8280"/>
        </w:tabs>
        <w:spacing w:before="15" w:line="240" w:lineRule="exact"/>
        <w:ind w:right="-142"/>
        <w:jc w:val="both"/>
        <w:rPr>
          <w:lang w:val="el-GR"/>
        </w:rPr>
      </w:pPr>
    </w:p>
    <w:p w14:paraId="5142E370" w14:textId="77777777" w:rsidR="004415BB" w:rsidRPr="00982179" w:rsidRDefault="004415BB" w:rsidP="001806CD">
      <w:pPr>
        <w:pStyle w:val="BodyText"/>
        <w:tabs>
          <w:tab w:val="left" w:pos="8100"/>
          <w:tab w:val="left" w:pos="8280"/>
        </w:tabs>
        <w:ind w:left="0" w:right="-142"/>
        <w:jc w:val="both"/>
      </w:pPr>
      <w:r>
        <w:rPr>
          <w:color w:val="00173C"/>
        </w:rPr>
        <w:t xml:space="preserve">Στην Αίγυπτο οι αρχές θέσπισαν πρόσφατα (με ισχύ από την 1η Ιουλίου) ποσοστώσεις παραγωγής για όλες τις τσιμεντοβιομηχανίες, προκειμένου να αντιμετωπιστούν οι </w:t>
      </w:r>
      <w:r w:rsidR="00F02A0C">
        <w:rPr>
          <w:color w:val="00173C"/>
        </w:rPr>
        <w:t>μακροχρόνιες</w:t>
      </w:r>
      <w:r>
        <w:rPr>
          <w:color w:val="00173C"/>
        </w:rPr>
        <w:t xml:space="preserve"> διαρθρωτικές ανισορροπίες </w:t>
      </w:r>
      <w:r w:rsidR="00F73D3E">
        <w:rPr>
          <w:color w:val="00173C"/>
        </w:rPr>
        <w:t>της αγοράς</w:t>
      </w:r>
      <w:r>
        <w:rPr>
          <w:color w:val="00173C"/>
        </w:rPr>
        <w:t xml:space="preserve">. </w:t>
      </w:r>
      <w:r w:rsidR="00F02A0C">
        <w:rPr>
          <w:color w:val="00173C"/>
        </w:rPr>
        <w:t xml:space="preserve">Παρόλο που είναι </w:t>
      </w:r>
      <w:r>
        <w:rPr>
          <w:color w:val="00173C"/>
        </w:rPr>
        <w:t>πολύ νωρίς να εκτιμηθ</w:t>
      </w:r>
      <w:r w:rsidR="00773BF9">
        <w:rPr>
          <w:color w:val="00173C"/>
        </w:rPr>
        <w:t xml:space="preserve">εί ο πλήρης αντίκτυπος </w:t>
      </w:r>
      <w:r>
        <w:rPr>
          <w:color w:val="00173C"/>
        </w:rPr>
        <w:t>αυτού του μέτρου</w:t>
      </w:r>
      <w:r w:rsidR="00F02A0C">
        <w:rPr>
          <w:color w:val="00173C"/>
        </w:rPr>
        <w:t xml:space="preserve">, </w:t>
      </w:r>
      <w:r>
        <w:rPr>
          <w:color w:val="00173C"/>
        </w:rPr>
        <w:t xml:space="preserve">η επίτευξη μιας ευνοϊκότερης ισορροπίας μεταξύ </w:t>
      </w:r>
      <w:r w:rsidR="00F27FE6">
        <w:rPr>
          <w:color w:val="00173C"/>
        </w:rPr>
        <w:t>προσφοράς και ζή</w:t>
      </w:r>
      <w:r>
        <w:rPr>
          <w:color w:val="00173C"/>
        </w:rPr>
        <w:t xml:space="preserve">τησης </w:t>
      </w:r>
      <w:r w:rsidR="00F27FE6">
        <w:rPr>
          <w:color w:val="00173C"/>
        </w:rPr>
        <w:t xml:space="preserve">εκτιμάται ότι </w:t>
      </w:r>
      <w:r w:rsidR="00584553">
        <w:rPr>
          <w:color w:val="00173C"/>
        </w:rPr>
        <w:t>μπορεί να</w:t>
      </w:r>
      <w:r>
        <w:rPr>
          <w:color w:val="00173C"/>
        </w:rPr>
        <w:t xml:space="preserve"> </w:t>
      </w:r>
      <w:r w:rsidR="00584553">
        <w:rPr>
          <w:color w:val="00173C"/>
        </w:rPr>
        <w:t xml:space="preserve">συμβάλλει </w:t>
      </w:r>
      <w:r w:rsidR="00F27FE6">
        <w:rPr>
          <w:color w:val="00173C"/>
        </w:rPr>
        <w:t>σ</w:t>
      </w:r>
      <w:r w:rsidR="00584553">
        <w:rPr>
          <w:color w:val="00173C"/>
        </w:rPr>
        <w:t>τη</w:t>
      </w:r>
      <w:r>
        <w:rPr>
          <w:color w:val="00173C"/>
        </w:rPr>
        <w:t xml:space="preserve"> βελτίωση των τιμών. </w:t>
      </w:r>
      <w:r w:rsidR="00197A9B">
        <w:rPr>
          <w:color w:val="00173C"/>
        </w:rPr>
        <w:t xml:space="preserve">Τα παραπάνω σε συνδυασμό με τις </w:t>
      </w:r>
      <w:r w:rsidR="00584553">
        <w:rPr>
          <w:color w:val="00173C"/>
        </w:rPr>
        <w:t xml:space="preserve">καλύτερες </w:t>
      </w:r>
      <w:r w:rsidR="00197A9B">
        <w:rPr>
          <w:color w:val="00173C"/>
        </w:rPr>
        <w:t>μακροοικονομικές προοπτικές και τη</w:t>
      </w:r>
      <w:r w:rsidR="00773BF9">
        <w:rPr>
          <w:color w:val="00173C"/>
        </w:rPr>
        <w:t>ν</w:t>
      </w:r>
      <w:r w:rsidR="00197A9B">
        <w:rPr>
          <w:color w:val="00173C"/>
        </w:rPr>
        <w:t xml:space="preserve"> ανάκαμψη της ζήτησης τσι</w:t>
      </w:r>
      <w:r w:rsidR="00584553">
        <w:rPr>
          <w:color w:val="00173C"/>
        </w:rPr>
        <w:t>μέντου αναμένεται να οδηγήσουν</w:t>
      </w:r>
      <w:r w:rsidR="00197A9B">
        <w:rPr>
          <w:color w:val="00173C"/>
        </w:rPr>
        <w:t xml:space="preserve"> σε βελτίωση της λειτουργικής κερδοφορίας. </w:t>
      </w:r>
    </w:p>
    <w:p w14:paraId="5142E371" w14:textId="77777777" w:rsidR="004415BB" w:rsidRPr="004415BB" w:rsidRDefault="004415BB" w:rsidP="001806CD">
      <w:pPr>
        <w:tabs>
          <w:tab w:val="left" w:pos="8100"/>
          <w:tab w:val="left" w:pos="8280"/>
        </w:tabs>
        <w:spacing w:before="15" w:line="240" w:lineRule="exact"/>
        <w:ind w:right="-142"/>
        <w:jc w:val="both"/>
        <w:rPr>
          <w:lang w:val="el-GR"/>
        </w:rPr>
      </w:pPr>
    </w:p>
    <w:p w14:paraId="5142E372" w14:textId="77777777" w:rsidR="004415BB" w:rsidRDefault="004415BB" w:rsidP="001806CD">
      <w:pPr>
        <w:pStyle w:val="BodyText"/>
        <w:tabs>
          <w:tab w:val="left" w:pos="8100"/>
          <w:tab w:val="left" w:pos="8280"/>
        </w:tabs>
        <w:ind w:left="0" w:right="-142"/>
        <w:jc w:val="both"/>
      </w:pPr>
      <w:r>
        <w:rPr>
          <w:color w:val="00173C"/>
        </w:rPr>
        <w:t>Στην Τουρκία</w:t>
      </w:r>
      <w:r w:rsidR="00F8793C" w:rsidRPr="00F8793C">
        <w:rPr>
          <w:color w:val="00173C"/>
        </w:rPr>
        <w:t xml:space="preserve">, </w:t>
      </w:r>
      <w:r w:rsidR="00F8793C">
        <w:rPr>
          <w:color w:val="00173C"/>
        </w:rPr>
        <w:t>η</w:t>
      </w:r>
      <w:r w:rsidR="00F8793C" w:rsidRPr="00F8793C">
        <w:rPr>
          <w:color w:val="00173C"/>
        </w:rPr>
        <w:t xml:space="preserve"> </w:t>
      </w:r>
      <w:r w:rsidR="00F8793C">
        <w:rPr>
          <w:color w:val="00173C"/>
        </w:rPr>
        <w:t xml:space="preserve">κυβερνητική πολιτική θα συνεχίσει να </w:t>
      </w:r>
      <w:r w:rsidR="000E1D42">
        <w:rPr>
          <w:color w:val="00173C"/>
        </w:rPr>
        <w:t>ενισχύει</w:t>
      </w:r>
      <w:r w:rsidR="00F8793C">
        <w:rPr>
          <w:color w:val="00173C"/>
        </w:rPr>
        <w:t xml:space="preserve"> την κατασκευαστική δραστηριότητα, παρά την εύθραυστη </w:t>
      </w:r>
      <w:r w:rsidR="0047540C">
        <w:rPr>
          <w:color w:val="00173C"/>
        </w:rPr>
        <w:t xml:space="preserve">οικονομική </w:t>
      </w:r>
      <w:r w:rsidR="00F8793C">
        <w:rPr>
          <w:color w:val="00173C"/>
        </w:rPr>
        <w:t xml:space="preserve">κατάσταση. </w:t>
      </w:r>
      <w:r>
        <w:rPr>
          <w:color w:val="00173C"/>
        </w:rPr>
        <w:t xml:space="preserve"> </w:t>
      </w:r>
    </w:p>
    <w:p w14:paraId="5142E373" w14:textId="77777777" w:rsidR="004415BB" w:rsidRPr="004415BB" w:rsidRDefault="004415BB" w:rsidP="001806CD">
      <w:pPr>
        <w:tabs>
          <w:tab w:val="left" w:pos="8100"/>
          <w:tab w:val="left" w:pos="8280"/>
        </w:tabs>
        <w:spacing w:before="17" w:line="240" w:lineRule="exact"/>
        <w:ind w:right="-142"/>
        <w:jc w:val="both"/>
        <w:rPr>
          <w:lang w:val="el-GR"/>
        </w:rPr>
      </w:pPr>
    </w:p>
    <w:p w14:paraId="5142E374" w14:textId="77777777" w:rsidR="004415BB" w:rsidRDefault="00AB0160" w:rsidP="001806CD">
      <w:pPr>
        <w:pStyle w:val="BodyText"/>
        <w:tabs>
          <w:tab w:val="left" w:pos="8100"/>
          <w:tab w:val="left" w:pos="8280"/>
        </w:tabs>
        <w:ind w:left="0" w:right="-142"/>
        <w:jc w:val="both"/>
      </w:pPr>
      <w:r>
        <w:rPr>
          <w:color w:val="00173C"/>
        </w:rPr>
        <w:t>Στην Βραζιλία η</w:t>
      </w:r>
      <w:r w:rsidR="004415BB">
        <w:rPr>
          <w:color w:val="00173C"/>
        </w:rPr>
        <w:t xml:space="preserve"> </w:t>
      </w:r>
      <w:r>
        <w:rPr>
          <w:color w:val="00173C"/>
        </w:rPr>
        <w:t>Εθνική Ένωση Τσιμεντοβιομηχανιών</w:t>
      </w:r>
      <w:r w:rsidR="004415BB">
        <w:rPr>
          <w:color w:val="00173C"/>
        </w:rPr>
        <w:t xml:space="preserve"> (SNIC) εκτιμά ότι το 2021 η </w:t>
      </w:r>
      <w:r>
        <w:rPr>
          <w:color w:val="00173C"/>
        </w:rPr>
        <w:t>κατανάλωση τσιμέντου</w:t>
      </w:r>
      <w:r w:rsidR="004415BB">
        <w:rPr>
          <w:color w:val="00173C"/>
        </w:rPr>
        <w:t xml:space="preserve"> θα αυξηθεί κατά 6% σε </w:t>
      </w:r>
      <w:r w:rsidR="00723AA5">
        <w:rPr>
          <w:color w:val="00173C"/>
        </w:rPr>
        <w:t>σύγκριση με τα επίπεδα του</w:t>
      </w:r>
      <w:r w:rsidR="004415BB">
        <w:rPr>
          <w:color w:val="00173C"/>
        </w:rPr>
        <w:t xml:space="preserve"> 2020 </w:t>
      </w:r>
      <w:r w:rsidR="00F8793C">
        <w:rPr>
          <w:color w:val="00173C"/>
        </w:rPr>
        <w:t>με τις</w:t>
      </w:r>
      <w:r w:rsidR="004415BB">
        <w:rPr>
          <w:color w:val="00173C"/>
        </w:rPr>
        <w:t xml:space="preserve"> ανακαινίσεις κατοικιών και τα νέα κατασκευαστικά έργα </w:t>
      </w:r>
      <w:r w:rsidR="00F8793C">
        <w:rPr>
          <w:color w:val="00173C"/>
        </w:rPr>
        <w:t xml:space="preserve">να οδηγούν την αύξηση της </w:t>
      </w:r>
      <w:r w:rsidR="004415BB">
        <w:rPr>
          <w:color w:val="00173C"/>
        </w:rPr>
        <w:t>ζήτηση</w:t>
      </w:r>
      <w:r w:rsidR="00F8793C">
        <w:rPr>
          <w:color w:val="00173C"/>
        </w:rPr>
        <w:t>ς</w:t>
      </w:r>
      <w:r w:rsidR="004415BB">
        <w:rPr>
          <w:color w:val="00173C"/>
        </w:rPr>
        <w:t xml:space="preserve">. </w:t>
      </w:r>
      <w:r>
        <w:rPr>
          <w:color w:val="00173C"/>
        </w:rPr>
        <w:t>Οι δείκτες εμπιστοσύνης καταναλωτή</w:t>
      </w:r>
      <w:r w:rsidR="004415BB">
        <w:rPr>
          <w:color w:val="00173C"/>
        </w:rPr>
        <w:t xml:space="preserve"> </w:t>
      </w:r>
      <w:r>
        <w:rPr>
          <w:color w:val="00173C"/>
        </w:rPr>
        <w:t xml:space="preserve">αλλά και κατασκευών </w:t>
      </w:r>
      <w:r w:rsidR="004415BB">
        <w:rPr>
          <w:color w:val="00173C"/>
        </w:rPr>
        <w:t>κινούνται αν</w:t>
      </w:r>
      <w:r>
        <w:rPr>
          <w:color w:val="00173C"/>
        </w:rPr>
        <w:t xml:space="preserve">οδικά </w:t>
      </w:r>
      <w:r w:rsidR="004415BB">
        <w:rPr>
          <w:color w:val="00173C"/>
        </w:rPr>
        <w:t xml:space="preserve">αποτυπώνοντας τη δραστηριότητα </w:t>
      </w:r>
      <w:r>
        <w:rPr>
          <w:color w:val="00173C"/>
        </w:rPr>
        <w:t xml:space="preserve">της </w:t>
      </w:r>
      <w:r w:rsidR="004415BB">
        <w:rPr>
          <w:color w:val="00173C"/>
        </w:rPr>
        <w:t>αγορά</w:t>
      </w:r>
      <w:r>
        <w:rPr>
          <w:color w:val="00173C"/>
        </w:rPr>
        <w:t>ς</w:t>
      </w:r>
      <w:r w:rsidR="004415BB">
        <w:rPr>
          <w:color w:val="00173C"/>
        </w:rPr>
        <w:t xml:space="preserve"> κατοικιών και τις </w:t>
      </w:r>
      <w:r>
        <w:rPr>
          <w:color w:val="00173C"/>
        </w:rPr>
        <w:t xml:space="preserve">δημόσιες </w:t>
      </w:r>
      <w:r w:rsidR="004415BB">
        <w:rPr>
          <w:color w:val="00173C"/>
        </w:rPr>
        <w:t>επενδύσεις</w:t>
      </w:r>
      <w:r>
        <w:rPr>
          <w:color w:val="00173C"/>
        </w:rPr>
        <w:t xml:space="preserve"> </w:t>
      </w:r>
      <w:r w:rsidR="004415BB">
        <w:rPr>
          <w:color w:val="00173C"/>
        </w:rPr>
        <w:t>σε έργα υποδομών</w:t>
      </w:r>
      <w:r w:rsidR="00723AA5">
        <w:rPr>
          <w:color w:val="00173C"/>
        </w:rPr>
        <w:t>,</w:t>
      </w:r>
      <w:r w:rsidR="004415BB">
        <w:rPr>
          <w:color w:val="00173C"/>
        </w:rPr>
        <w:t xml:space="preserve"> </w:t>
      </w:r>
      <w:r w:rsidR="00717D4C">
        <w:rPr>
          <w:color w:val="00173C"/>
        </w:rPr>
        <w:t>με</w:t>
      </w:r>
      <w:r w:rsidR="004415BB">
        <w:rPr>
          <w:color w:val="00173C"/>
        </w:rPr>
        <w:t xml:space="preserve"> </w:t>
      </w:r>
      <w:r w:rsidR="00F8793C">
        <w:rPr>
          <w:color w:val="00173C"/>
        </w:rPr>
        <w:t>θετικές</w:t>
      </w:r>
      <w:r w:rsidR="004415BB">
        <w:rPr>
          <w:color w:val="00173C"/>
        </w:rPr>
        <w:t xml:space="preserve"> προοπτικές για τον κλάδο το 2022.</w:t>
      </w:r>
    </w:p>
    <w:p w14:paraId="5142E375" w14:textId="77777777" w:rsidR="00643366" w:rsidRPr="005B3A1B" w:rsidRDefault="00643366" w:rsidP="001806CD">
      <w:pPr>
        <w:tabs>
          <w:tab w:val="left" w:pos="8100"/>
        </w:tabs>
        <w:spacing w:after="200" w:line="276" w:lineRule="auto"/>
        <w:ind w:right="-142"/>
        <w:rPr>
          <w:rFonts w:ascii="Calibri" w:hAnsi="Calibri" w:cs="Calibri"/>
          <w:b/>
          <w:sz w:val="28"/>
          <w:szCs w:val="36"/>
          <w:lang w:eastAsia="el-GR"/>
        </w:rPr>
      </w:pPr>
    </w:p>
    <w:p w14:paraId="5142E376" w14:textId="77777777" w:rsidR="00643366" w:rsidRDefault="00643366" w:rsidP="004415BB">
      <w:pPr>
        <w:spacing w:after="200" w:line="276" w:lineRule="auto"/>
        <w:ind w:right="-142"/>
        <w:rPr>
          <w:rFonts w:ascii="Calibri" w:hAnsi="Calibri" w:cs="Calibri"/>
          <w:b/>
          <w:sz w:val="28"/>
          <w:szCs w:val="36"/>
          <w:lang w:val="el-GR" w:eastAsia="el-GR"/>
        </w:rPr>
      </w:pPr>
    </w:p>
    <w:p w14:paraId="5142E377" w14:textId="77777777" w:rsidR="001806CD" w:rsidRPr="00180173" w:rsidRDefault="001806CD" w:rsidP="004415BB">
      <w:pPr>
        <w:spacing w:after="200" w:line="276" w:lineRule="auto"/>
        <w:ind w:right="-142"/>
        <w:rPr>
          <w:rFonts w:ascii="Calibri" w:hAnsi="Calibri" w:cs="Calibri"/>
          <w:b/>
          <w:sz w:val="28"/>
          <w:szCs w:val="36"/>
          <w:lang w:val="el-GR" w:eastAsia="el-GR"/>
        </w:rPr>
      </w:pPr>
    </w:p>
    <w:p w14:paraId="5142E378" w14:textId="77777777" w:rsidR="00643366" w:rsidRPr="00180173" w:rsidRDefault="00643366" w:rsidP="00446696">
      <w:pPr>
        <w:spacing w:after="200" w:line="276" w:lineRule="auto"/>
        <w:rPr>
          <w:rFonts w:ascii="Calibri" w:hAnsi="Calibri" w:cs="Calibri"/>
          <w:b/>
          <w:sz w:val="28"/>
          <w:szCs w:val="36"/>
          <w:lang w:val="el-GR" w:eastAsia="el-GR"/>
        </w:rPr>
      </w:pPr>
    </w:p>
    <w:tbl>
      <w:tblPr>
        <w:tblW w:w="9781" w:type="dxa"/>
        <w:tblLook w:val="04A0" w:firstRow="1" w:lastRow="0" w:firstColumn="1" w:lastColumn="0" w:noHBand="0" w:noVBand="1"/>
      </w:tblPr>
      <w:tblGrid>
        <w:gridCol w:w="5417"/>
        <w:gridCol w:w="679"/>
        <w:gridCol w:w="283"/>
        <w:gridCol w:w="1559"/>
        <w:gridCol w:w="284"/>
        <w:gridCol w:w="1559"/>
      </w:tblGrid>
      <w:tr w:rsidR="00363E89" w:rsidRPr="00F9367B" w14:paraId="5142E37A" w14:textId="77777777" w:rsidTr="006623D7">
        <w:trPr>
          <w:trHeight w:val="420"/>
        </w:trPr>
        <w:tc>
          <w:tcPr>
            <w:tcW w:w="9781" w:type="dxa"/>
            <w:gridSpan w:val="6"/>
            <w:tcBorders>
              <w:top w:val="nil"/>
              <w:left w:val="nil"/>
              <w:bottom w:val="single" w:sz="4" w:space="0" w:color="auto"/>
              <w:right w:val="nil"/>
            </w:tcBorders>
            <w:shd w:val="clear" w:color="auto" w:fill="auto"/>
            <w:noWrap/>
            <w:vAlign w:val="bottom"/>
            <w:hideMark/>
          </w:tcPr>
          <w:p w14:paraId="5142E379" w14:textId="77777777" w:rsidR="00363E89" w:rsidRPr="007A6EC1" w:rsidRDefault="00BD5563" w:rsidP="000E1D42">
            <w:pPr>
              <w:rPr>
                <w:rFonts w:ascii="Calibri" w:hAnsi="Calibri" w:cs="Calibri"/>
                <w:b/>
                <w:bCs/>
                <w:color w:val="00183D"/>
                <w:sz w:val="28"/>
                <w:szCs w:val="28"/>
                <w:lang w:val="el-GR"/>
              </w:rPr>
            </w:pPr>
            <w:r w:rsidRPr="00E37C77">
              <w:rPr>
                <w:lang w:val="el-GR"/>
              </w:rPr>
              <w:lastRenderedPageBreak/>
              <w:br w:type="page"/>
            </w:r>
            <w:r w:rsidR="00363E89" w:rsidRPr="007A6EC1">
              <w:rPr>
                <w:rFonts w:ascii="Calibri" w:hAnsi="Calibri" w:cs="Calibri"/>
                <w:b/>
                <w:bCs/>
                <w:color w:val="00183D"/>
                <w:sz w:val="28"/>
                <w:szCs w:val="28"/>
                <w:lang w:val="el-GR"/>
              </w:rPr>
              <w:t xml:space="preserve">Σύνοψη Ενδιάμεσης Ενοποιημένης Κατάστασης Αποτελεσμάτων </w:t>
            </w:r>
          </w:p>
        </w:tc>
      </w:tr>
      <w:tr w:rsidR="00363E89" w:rsidRPr="00F9367B" w14:paraId="5142E381" w14:textId="77777777" w:rsidTr="006623D7">
        <w:trPr>
          <w:trHeight w:val="225"/>
        </w:trPr>
        <w:tc>
          <w:tcPr>
            <w:tcW w:w="5417" w:type="dxa"/>
            <w:tcBorders>
              <w:top w:val="nil"/>
              <w:left w:val="nil"/>
              <w:bottom w:val="nil"/>
              <w:right w:val="nil"/>
            </w:tcBorders>
            <w:shd w:val="clear" w:color="auto" w:fill="auto"/>
            <w:noWrap/>
            <w:vAlign w:val="bottom"/>
            <w:hideMark/>
          </w:tcPr>
          <w:p w14:paraId="5142E37B" w14:textId="77777777" w:rsidR="00363E89" w:rsidRPr="007A6EC1" w:rsidRDefault="00363E89" w:rsidP="006623D7">
            <w:pPr>
              <w:rPr>
                <w:rFonts w:ascii="Calibri" w:hAnsi="Calibri" w:cs="Calibri"/>
                <w:b/>
                <w:bCs/>
                <w:color w:val="00183D"/>
                <w:sz w:val="28"/>
                <w:szCs w:val="28"/>
                <w:lang w:val="el-GR"/>
              </w:rPr>
            </w:pPr>
          </w:p>
        </w:tc>
        <w:tc>
          <w:tcPr>
            <w:tcW w:w="679" w:type="dxa"/>
            <w:tcBorders>
              <w:top w:val="nil"/>
              <w:left w:val="nil"/>
              <w:bottom w:val="nil"/>
              <w:right w:val="nil"/>
            </w:tcBorders>
            <w:shd w:val="clear" w:color="auto" w:fill="auto"/>
            <w:noWrap/>
            <w:vAlign w:val="bottom"/>
            <w:hideMark/>
          </w:tcPr>
          <w:p w14:paraId="5142E37C"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37D"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noWrap/>
            <w:vAlign w:val="bottom"/>
            <w:hideMark/>
          </w:tcPr>
          <w:p w14:paraId="5142E37E" w14:textId="77777777" w:rsidR="00363E89" w:rsidRPr="007A6EC1" w:rsidRDefault="00363E89" w:rsidP="006623D7">
            <w:pPr>
              <w:rPr>
                <w:sz w:val="20"/>
                <w:szCs w:val="20"/>
                <w:lang w:val="el-GR"/>
              </w:rPr>
            </w:pPr>
          </w:p>
        </w:tc>
        <w:tc>
          <w:tcPr>
            <w:tcW w:w="284" w:type="dxa"/>
            <w:tcBorders>
              <w:top w:val="nil"/>
              <w:left w:val="nil"/>
              <w:bottom w:val="nil"/>
              <w:right w:val="nil"/>
            </w:tcBorders>
            <w:shd w:val="clear" w:color="auto" w:fill="auto"/>
            <w:noWrap/>
            <w:vAlign w:val="bottom"/>
            <w:hideMark/>
          </w:tcPr>
          <w:p w14:paraId="5142E37F"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noWrap/>
            <w:vAlign w:val="bottom"/>
            <w:hideMark/>
          </w:tcPr>
          <w:p w14:paraId="5142E380" w14:textId="77777777" w:rsidR="00363E89" w:rsidRPr="007A6EC1" w:rsidRDefault="00363E89" w:rsidP="006623D7">
            <w:pPr>
              <w:rPr>
                <w:sz w:val="20"/>
                <w:szCs w:val="20"/>
                <w:lang w:val="el-GR"/>
              </w:rPr>
            </w:pPr>
          </w:p>
        </w:tc>
      </w:tr>
      <w:tr w:rsidR="00363E89" w:rsidRPr="00F9367B" w14:paraId="5142E386" w14:textId="77777777" w:rsidTr="006623D7">
        <w:trPr>
          <w:trHeight w:val="300"/>
        </w:trPr>
        <w:tc>
          <w:tcPr>
            <w:tcW w:w="5417" w:type="dxa"/>
            <w:tcBorders>
              <w:top w:val="single" w:sz="4" w:space="0" w:color="4F81BD"/>
              <w:left w:val="nil"/>
              <w:bottom w:val="nil"/>
              <w:right w:val="nil"/>
            </w:tcBorders>
            <w:shd w:val="clear" w:color="auto" w:fill="auto"/>
            <w:noWrap/>
            <w:vAlign w:val="bottom"/>
            <w:hideMark/>
          </w:tcPr>
          <w:p w14:paraId="5142E382" w14:textId="77777777" w:rsidR="00363E89" w:rsidRPr="007A6EC1" w:rsidRDefault="00363E89" w:rsidP="006623D7">
            <w:pPr>
              <w:rPr>
                <w:rFonts w:ascii="Calibri" w:hAnsi="Calibri" w:cs="Calibri"/>
                <w:i/>
                <w:iCs/>
                <w:sz w:val="18"/>
                <w:szCs w:val="18"/>
                <w:lang w:val="el-GR"/>
              </w:rPr>
            </w:pPr>
            <w:r w:rsidRPr="007A6EC1">
              <w:rPr>
                <w:rFonts w:ascii="Calibri" w:hAnsi="Calibri" w:cs="Calibri"/>
                <w:i/>
                <w:iCs/>
                <w:sz w:val="18"/>
                <w:szCs w:val="18"/>
                <w:lang w:val="el-GR"/>
              </w:rPr>
              <w:t>(ποσά σε χιλιάδες €)</w:t>
            </w:r>
          </w:p>
        </w:tc>
        <w:tc>
          <w:tcPr>
            <w:tcW w:w="679" w:type="dxa"/>
            <w:tcBorders>
              <w:top w:val="single" w:sz="4" w:space="0" w:color="4F81BD"/>
              <w:left w:val="nil"/>
              <w:bottom w:val="nil"/>
              <w:right w:val="nil"/>
            </w:tcBorders>
            <w:shd w:val="clear" w:color="auto" w:fill="auto"/>
            <w:noWrap/>
            <w:vAlign w:val="bottom"/>
            <w:hideMark/>
          </w:tcPr>
          <w:p w14:paraId="5142E383" w14:textId="77777777" w:rsidR="00363E89" w:rsidRPr="007A6EC1" w:rsidRDefault="00363E89" w:rsidP="006623D7">
            <w:pPr>
              <w:rPr>
                <w:rFonts w:ascii="Calibri" w:hAnsi="Calibri" w:cs="Calibri"/>
                <w:i/>
                <w:iCs/>
                <w:sz w:val="22"/>
                <w:szCs w:val="22"/>
                <w:lang w:val="el-GR"/>
              </w:rPr>
            </w:pPr>
            <w:r w:rsidRPr="007A6EC1">
              <w:rPr>
                <w:rFonts w:ascii="Calibri" w:hAnsi="Calibri" w:cs="Calibri"/>
                <w:i/>
                <w:iCs/>
                <w:sz w:val="22"/>
                <w:szCs w:val="22"/>
                <w:lang w:val="el-GR"/>
              </w:rPr>
              <w:t> </w:t>
            </w:r>
          </w:p>
        </w:tc>
        <w:tc>
          <w:tcPr>
            <w:tcW w:w="283" w:type="dxa"/>
            <w:tcBorders>
              <w:top w:val="nil"/>
              <w:left w:val="nil"/>
              <w:bottom w:val="nil"/>
              <w:right w:val="nil"/>
            </w:tcBorders>
            <w:shd w:val="clear" w:color="auto" w:fill="auto"/>
            <w:vAlign w:val="bottom"/>
            <w:hideMark/>
          </w:tcPr>
          <w:p w14:paraId="5142E384" w14:textId="77777777" w:rsidR="00363E89" w:rsidRPr="007A6EC1" w:rsidRDefault="00363E89" w:rsidP="006623D7">
            <w:pPr>
              <w:rPr>
                <w:rFonts w:ascii="Calibri" w:hAnsi="Calibri" w:cs="Calibri"/>
                <w:i/>
                <w:iCs/>
                <w:sz w:val="22"/>
                <w:szCs w:val="22"/>
                <w:lang w:val="el-GR"/>
              </w:rPr>
            </w:pPr>
          </w:p>
        </w:tc>
        <w:tc>
          <w:tcPr>
            <w:tcW w:w="3402" w:type="dxa"/>
            <w:gridSpan w:val="3"/>
            <w:tcBorders>
              <w:top w:val="single" w:sz="4" w:space="0" w:color="4F81BD"/>
              <w:left w:val="nil"/>
              <w:bottom w:val="nil"/>
              <w:right w:val="nil"/>
            </w:tcBorders>
            <w:shd w:val="clear" w:color="auto" w:fill="auto"/>
            <w:noWrap/>
            <w:vAlign w:val="bottom"/>
            <w:hideMark/>
          </w:tcPr>
          <w:p w14:paraId="5142E385" w14:textId="77777777" w:rsidR="00363E89" w:rsidRPr="007A6EC1" w:rsidRDefault="00363E89" w:rsidP="006623D7">
            <w:pPr>
              <w:jc w:val="center"/>
              <w:rPr>
                <w:rFonts w:ascii="Calibri" w:hAnsi="Calibri" w:cs="Calibri"/>
                <w:b/>
                <w:bCs/>
                <w:color w:val="000000"/>
                <w:sz w:val="22"/>
                <w:szCs w:val="22"/>
                <w:lang w:val="el-GR"/>
              </w:rPr>
            </w:pPr>
            <w:r w:rsidRPr="007A6EC1">
              <w:rPr>
                <w:rFonts w:ascii="Calibri" w:hAnsi="Calibri" w:cs="Calibri"/>
                <w:b/>
                <w:bCs/>
                <w:color w:val="000000"/>
                <w:sz w:val="22"/>
                <w:szCs w:val="22"/>
                <w:lang w:val="el-GR"/>
              </w:rPr>
              <w:t>Για το εξάμηνο που έληξε την 30/6</w:t>
            </w:r>
          </w:p>
        </w:tc>
      </w:tr>
      <w:tr w:rsidR="00363E89" w:rsidRPr="00005C17" w14:paraId="5142E38D" w14:textId="77777777" w:rsidTr="006623D7">
        <w:trPr>
          <w:trHeight w:val="330"/>
        </w:trPr>
        <w:tc>
          <w:tcPr>
            <w:tcW w:w="5417" w:type="dxa"/>
            <w:tcBorders>
              <w:top w:val="nil"/>
              <w:left w:val="nil"/>
              <w:bottom w:val="nil"/>
              <w:right w:val="nil"/>
            </w:tcBorders>
            <w:shd w:val="clear" w:color="auto" w:fill="auto"/>
            <w:vAlign w:val="bottom"/>
            <w:hideMark/>
          </w:tcPr>
          <w:p w14:paraId="5142E387" w14:textId="77777777" w:rsidR="00363E89" w:rsidRPr="007A6EC1" w:rsidRDefault="00363E89" w:rsidP="006623D7">
            <w:pPr>
              <w:jc w:val="center"/>
              <w:rPr>
                <w:rFonts w:ascii="Calibri" w:hAnsi="Calibri" w:cs="Calibri"/>
                <w:b/>
                <w:bCs/>
                <w:color w:val="000000"/>
                <w:sz w:val="22"/>
                <w:szCs w:val="22"/>
                <w:lang w:val="el-GR"/>
              </w:rPr>
            </w:pPr>
          </w:p>
        </w:tc>
        <w:tc>
          <w:tcPr>
            <w:tcW w:w="679" w:type="dxa"/>
            <w:tcBorders>
              <w:top w:val="nil"/>
              <w:left w:val="nil"/>
              <w:bottom w:val="nil"/>
              <w:right w:val="nil"/>
            </w:tcBorders>
            <w:shd w:val="clear" w:color="auto" w:fill="auto"/>
            <w:noWrap/>
            <w:vAlign w:val="bottom"/>
            <w:hideMark/>
          </w:tcPr>
          <w:p w14:paraId="5142E388"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389" w14:textId="77777777" w:rsidR="00363E89" w:rsidRPr="007A6EC1" w:rsidRDefault="00363E89" w:rsidP="006623D7">
            <w:pPr>
              <w:rPr>
                <w:sz w:val="20"/>
                <w:szCs w:val="20"/>
                <w:lang w:val="el-GR"/>
              </w:rPr>
            </w:pPr>
          </w:p>
        </w:tc>
        <w:tc>
          <w:tcPr>
            <w:tcW w:w="1559" w:type="dxa"/>
            <w:tcBorders>
              <w:top w:val="single" w:sz="4" w:space="0" w:color="4F81BD"/>
              <w:left w:val="nil"/>
              <w:bottom w:val="single" w:sz="4" w:space="0" w:color="auto"/>
              <w:right w:val="nil"/>
            </w:tcBorders>
            <w:shd w:val="clear" w:color="000000" w:fill="F2F2F2"/>
            <w:noWrap/>
            <w:vAlign w:val="bottom"/>
            <w:hideMark/>
          </w:tcPr>
          <w:p w14:paraId="5142E38A" w14:textId="77777777" w:rsidR="00363E89" w:rsidRPr="007A6EC1" w:rsidRDefault="00363E89" w:rsidP="006623D7">
            <w:pPr>
              <w:jc w:val="right"/>
              <w:rPr>
                <w:rFonts w:ascii="Calibri" w:hAnsi="Calibri" w:cs="Calibri"/>
                <w:b/>
                <w:bCs/>
                <w:color w:val="000000"/>
                <w:sz w:val="22"/>
                <w:szCs w:val="22"/>
                <w:lang w:val="el-GR"/>
              </w:rPr>
            </w:pPr>
            <w:r w:rsidRPr="007A6EC1">
              <w:rPr>
                <w:rFonts w:ascii="Calibri" w:hAnsi="Calibri" w:cs="Calibri"/>
                <w:b/>
                <w:bCs/>
                <w:color w:val="000000"/>
                <w:sz w:val="22"/>
                <w:szCs w:val="22"/>
                <w:lang w:val="el-GR"/>
              </w:rPr>
              <w:t>2021</w:t>
            </w:r>
          </w:p>
        </w:tc>
        <w:tc>
          <w:tcPr>
            <w:tcW w:w="284" w:type="dxa"/>
            <w:tcBorders>
              <w:top w:val="nil"/>
              <w:left w:val="nil"/>
              <w:bottom w:val="nil"/>
              <w:right w:val="nil"/>
            </w:tcBorders>
            <w:shd w:val="clear" w:color="auto" w:fill="auto"/>
            <w:vAlign w:val="bottom"/>
            <w:hideMark/>
          </w:tcPr>
          <w:p w14:paraId="5142E38B" w14:textId="77777777" w:rsidR="00363E89" w:rsidRPr="007A6EC1" w:rsidRDefault="00363E89" w:rsidP="006623D7">
            <w:pPr>
              <w:jc w:val="right"/>
              <w:rPr>
                <w:rFonts w:ascii="Calibri" w:hAnsi="Calibri" w:cs="Calibri"/>
                <w:b/>
                <w:bCs/>
                <w:color w:val="000000"/>
                <w:sz w:val="22"/>
                <w:szCs w:val="22"/>
                <w:lang w:val="el-GR"/>
              </w:rPr>
            </w:pPr>
          </w:p>
        </w:tc>
        <w:tc>
          <w:tcPr>
            <w:tcW w:w="1559" w:type="dxa"/>
            <w:tcBorders>
              <w:top w:val="single" w:sz="4" w:space="0" w:color="4F81BD"/>
              <w:left w:val="nil"/>
              <w:bottom w:val="single" w:sz="4" w:space="0" w:color="auto"/>
              <w:right w:val="nil"/>
            </w:tcBorders>
            <w:shd w:val="clear" w:color="auto" w:fill="auto"/>
            <w:noWrap/>
            <w:vAlign w:val="bottom"/>
            <w:hideMark/>
          </w:tcPr>
          <w:p w14:paraId="5142E38C" w14:textId="77777777" w:rsidR="00363E89" w:rsidRPr="007A6EC1" w:rsidRDefault="00363E89" w:rsidP="006623D7">
            <w:pPr>
              <w:jc w:val="right"/>
              <w:rPr>
                <w:rFonts w:ascii="Calibri" w:hAnsi="Calibri" w:cs="Calibri"/>
                <w:b/>
                <w:bCs/>
                <w:color w:val="000000"/>
                <w:sz w:val="22"/>
                <w:szCs w:val="22"/>
                <w:lang w:val="el-GR"/>
              </w:rPr>
            </w:pPr>
            <w:r w:rsidRPr="007A6EC1">
              <w:rPr>
                <w:rFonts w:ascii="Calibri" w:hAnsi="Calibri" w:cs="Calibri"/>
                <w:b/>
                <w:bCs/>
                <w:color w:val="000000"/>
                <w:sz w:val="22"/>
                <w:szCs w:val="22"/>
                <w:lang w:val="el-GR"/>
              </w:rPr>
              <w:t>2020</w:t>
            </w:r>
          </w:p>
        </w:tc>
      </w:tr>
      <w:tr w:rsidR="00363E89" w:rsidRPr="00005C17" w14:paraId="5142E394" w14:textId="77777777" w:rsidTr="006623D7">
        <w:trPr>
          <w:trHeight w:val="330"/>
        </w:trPr>
        <w:tc>
          <w:tcPr>
            <w:tcW w:w="5417" w:type="dxa"/>
            <w:tcBorders>
              <w:top w:val="nil"/>
              <w:left w:val="nil"/>
              <w:bottom w:val="nil"/>
              <w:right w:val="nil"/>
            </w:tcBorders>
            <w:shd w:val="clear" w:color="auto" w:fill="auto"/>
            <w:vAlign w:val="bottom"/>
            <w:hideMark/>
          </w:tcPr>
          <w:p w14:paraId="5142E38E" w14:textId="77777777" w:rsidR="00363E89" w:rsidRPr="007A6EC1" w:rsidRDefault="00363E89" w:rsidP="006623D7">
            <w:pPr>
              <w:jc w:val="right"/>
              <w:rPr>
                <w:rFonts w:ascii="Calibri" w:hAnsi="Calibri" w:cs="Calibri"/>
                <w:b/>
                <w:bCs/>
                <w:color w:val="000000"/>
                <w:sz w:val="22"/>
                <w:szCs w:val="22"/>
                <w:lang w:val="el-GR"/>
              </w:rPr>
            </w:pPr>
          </w:p>
        </w:tc>
        <w:tc>
          <w:tcPr>
            <w:tcW w:w="679" w:type="dxa"/>
            <w:tcBorders>
              <w:top w:val="nil"/>
              <w:left w:val="nil"/>
              <w:bottom w:val="nil"/>
              <w:right w:val="nil"/>
            </w:tcBorders>
            <w:shd w:val="clear" w:color="auto" w:fill="auto"/>
            <w:noWrap/>
            <w:vAlign w:val="bottom"/>
            <w:hideMark/>
          </w:tcPr>
          <w:p w14:paraId="5142E38F"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390"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auto" w:fill="auto"/>
            <w:vAlign w:val="bottom"/>
            <w:hideMark/>
          </w:tcPr>
          <w:p w14:paraId="5142E391" w14:textId="77777777" w:rsidR="00363E89" w:rsidRPr="007A6EC1" w:rsidRDefault="00363E89" w:rsidP="006623D7">
            <w:pPr>
              <w:jc w:val="center"/>
              <w:rPr>
                <w:sz w:val="20"/>
                <w:szCs w:val="20"/>
                <w:lang w:val="el-GR"/>
              </w:rPr>
            </w:pPr>
          </w:p>
        </w:tc>
        <w:tc>
          <w:tcPr>
            <w:tcW w:w="284" w:type="dxa"/>
            <w:tcBorders>
              <w:top w:val="nil"/>
              <w:left w:val="nil"/>
              <w:bottom w:val="nil"/>
              <w:right w:val="nil"/>
            </w:tcBorders>
            <w:shd w:val="clear" w:color="auto" w:fill="auto"/>
            <w:vAlign w:val="bottom"/>
            <w:hideMark/>
          </w:tcPr>
          <w:p w14:paraId="5142E392"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vAlign w:val="bottom"/>
            <w:hideMark/>
          </w:tcPr>
          <w:p w14:paraId="5142E393" w14:textId="77777777" w:rsidR="00363E89" w:rsidRPr="007A6EC1" w:rsidRDefault="00363E89" w:rsidP="006623D7">
            <w:pPr>
              <w:rPr>
                <w:sz w:val="20"/>
                <w:szCs w:val="20"/>
                <w:lang w:val="el-GR"/>
              </w:rPr>
            </w:pPr>
          </w:p>
        </w:tc>
      </w:tr>
      <w:tr w:rsidR="00363E89" w:rsidRPr="00005C17" w14:paraId="5142E39B" w14:textId="77777777" w:rsidTr="006623D7">
        <w:trPr>
          <w:trHeight w:val="315"/>
        </w:trPr>
        <w:tc>
          <w:tcPr>
            <w:tcW w:w="5417" w:type="dxa"/>
            <w:tcBorders>
              <w:top w:val="single" w:sz="4" w:space="0" w:color="000000"/>
              <w:left w:val="nil"/>
              <w:bottom w:val="single" w:sz="4" w:space="0" w:color="000000"/>
              <w:right w:val="nil"/>
            </w:tcBorders>
            <w:shd w:val="clear" w:color="auto" w:fill="auto"/>
            <w:noWrap/>
            <w:vAlign w:val="bottom"/>
            <w:hideMark/>
          </w:tcPr>
          <w:p w14:paraId="5142E395"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Κύκλος εργασιών</w:t>
            </w:r>
          </w:p>
        </w:tc>
        <w:tc>
          <w:tcPr>
            <w:tcW w:w="679" w:type="dxa"/>
            <w:tcBorders>
              <w:top w:val="single" w:sz="4" w:space="0" w:color="000000"/>
              <w:left w:val="nil"/>
              <w:bottom w:val="single" w:sz="4" w:space="0" w:color="000000"/>
              <w:right w:val="nil"/>
            </w:tcBorders>
            <w:shd w:val="clear" w:color="auto" w:fill="auto"/>
            <w:noWrap/>
            <w:vAlign w:val="bottom"/>
            <w:hideMark/>
          </w:tcPr>
          <w:p w14:paraId="5142E396"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97"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single" w:sz="4" w:space="0" w:color="000000"/>
              <w:left w:val="nil"/>
              <w:bottom w:val="single" w:sz="4" w:space="0" w:color="000000"/>
              <w:right w:val="nil"/>
            </w:tcBorders>
            <w:shd w:val="clear" w:color="000000" w:fill="F2F2F2"/>
            <w:noWrap/>
            <w:vAlign w:val="bottom"/>
            <w:hideMark/>
          </w:tcPr>
          <w:p w14:paraId="5142E398"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821.068</w:t>
            </w:r>
          </w:p>
        </w:tc>
        <w:tc>
          <w:tcPr>
            <w:tcW w:w="284" w:type="dxa"/>
            <w:tcBorders>
              <w:top w:val="nil"/>
              <w:left w:val="nil"/>
              <w:bottom w:val="nil"/>
              <w:right w:val="nil"/>
            </w:tcBorders>
            <w:shd w:val="clear" w:color="auto" w:fill="auto"/>
            <w:noWrap/>
            <w:vAlign w:val="bottom"/>
            <w:hideMark/>
          </w:tcPr>
          <w:p w14:paraId="5142E399"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single" w:sz="4" w:space="0" w:color="000000"/>
              <w:left w:val="nil"/>
              <w:bottom w:val="single" w:sz="4" w:space="0" w:color="000000"/>
              <w:right w:val="nil"/>
            </w:tcBorders>
            <w:shd w:val="clear" w:color="000000" w:fill="FFFFFF"/>
            <w:noWrap/>
            <w:vAlign w:val="bottom"/>
            <w:hideMark/>
          </w:tcPr>
          <w:p w14:paraId="5142E39A"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786.285</w:t>
            </w:r>
          </w:p>
        </w:tc>
      </w:tr>
      <w:tr w:rsidR="00363E89" w:rsidRPr="00005C17" w14:paraId="5142E3A2" w14:textId="77777777" w:rsidTr="006623D7">
        <w:trPr>
          <w:trHeight w:val="315"/>
        </w:trPr>
        <w:tc>
          <w:tcPr>
            <w:tcW w:w="5417" w:type="dxa"/>
            <w:tcBorders>
              <w:top w:val="nil"/>
              <w:left w:val="nil"/>
              <w:bottom w:val="nil"/>
              <w:right w:val="nil"/>
            </w:tcBorders>
            <w:shd w:val="clear" w:color="auto" w:fill="auto"/>
            <w:noWrap/>
            <w:vAlign w:val="bottom"/>
            <w:hideMark/>
          </w:tcPr>
          <w:p w14:paraId="5142E39C"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Κόστος πωλήσεων</w:t>
            </w:r>
          </w:p>
        </w:tc>
        <w:tc>
          <w:tcPr>
            <w:tcW w:w="679" w:type="dxa"/>
            <w:tcBorders>
              <w:top w:val="nil"/>
              <w:left w:val="nil"/>
              <w:bottom w:val="nil"/>
              <w:right w:val="nil"/>
            </w:tcBorders>
            <w:shd w:val="clear" w:color="auto" w:fill="auto"/>
            <w:noWrap/>
            <w:vAlign w:val="bottom"/>
            <w:hideMark/>
          </w:tcPr>
          <w:p w14:paraId="5142E39D" w14:textId="77777777" w:rsidR="00363E89" w:rsidRPr="007A6EC1" w:rsidRDefault="00363E89" w:rsidP="006623D7">
            <w:pPr>
              <w:rPr>
                <w:rFonts w:ascii="Calibri" w:hAnsi="Calibri" w:cs="Calibri"/>
                <w:color w:val="000000"/>
                <w:sz w:val="21"/>
                <w:szCs w:val="21"/>
                <w:lang w:val="el-GR"/>
              </w:rPr>
            </w:pPr>
          </w:p>
        </w:tc>
        <w:tc>
          <w:tcPr>
            <w:tcW w:w="283" w:type="dxa"/>
            <w:tcBorders>
              <w:top w:val="nil"/>
              <w:left w:val="nil"/>
              <w:bottom w:val="nil"/>
              <w:right w:val="nil"/>
            </w:tcBorders>
            <w:shd w:val="clear" w:color="auto" w:fill="auto"/>
            <w:noWrap/>
            <w:vAlign w:val="bottom"/>
            <w:hideMark/>
          </w:tcPr>
          <w:p w14:paraId="5142E39E"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000000" w:fill="F2F2F2"/>
            <w:noWrap/>
            <w:vAlign w:val="bottom"/>
            <w:hideMark/>
          </w:tcPr>
          <w:p w14:paraId="5142E39F"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-661.553</w:t>
            </w:r>
          </w:p>
        </w:tc>
        <w:tc>
          <w:tcPr>
            <w:tcW w:w="284" w:type="dxa"/>
            <w:tcBorders>
              <w:top w:val="nil"/>
              <w:left w:val="nil"/>
              <w:bottom w:val="nil"/>
              <w:right w:val="nil"/>
            </w:tcBorders>
            <w:shd w:val="clear" w:color="auto" w:fill="auto"/>
            <w:noWrap/>
            <w:vAlign w:val="bottom"/>
            <w:hideMark/>
          </w:tcPr>
          <w:p w14:paraId="5142E3A0"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nil"/>
              <w:right w:val="nil"/>
            </w:tcBorders>
            <w:shd w:val="clear" w:color="auto" w:fill="auto"/>
            <w:noWrap/>
            <w:vAlign w:val="bottom"/>
            <w:hideMark/>
          </w:tcPr>
          <w:p w14:paraId="5142E3A1"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-640.930</w:t>
            </w:r>
          </w:p>
        </w:tc>
      </w:tr>
      <w:tr w:rsidR="00363E89" w:rsidRPr="00005C17" w14:paraId="5142E3A9" w14:textId="77777777" w:rsidTr="006623D7">
        <w:trPr>
          <w:trHeight w:val="285"/>
        </w:trPr>
        <w:tc>
          <w:tcPr>
            <w:tcW w:w="5417" w:type="dxa"/>
            <w:tcBorders>
              <w:top w:val="single" w:sz="4" w:space="0" w:color="4F81BD"/>
              <w:left w:val="nil"/>
              <w:bottom w:val="single" w:sz="4" w:space="0" w:color="000000"/>
              <w:right w:val="nil"/>
            </w:tcBorders>
            <w:shd w:val="clear" w:color="auto" w:fill="auto"/>
            <w:noWrap/>
            <w:vAlign w:val="bottom"/>
            <w:hideMark/>
          </w:tcPr>
          <w:p w14:paraId="5142E3A3"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Μικτά κέρδη </w:t>
            </w:r>
          </w:p>
        </w:tc>
        <w:tc>
          <w:tcPr>
            <w:tcW w:w="679" w:type="dxa"/>
            <w:tcBorders>
              <w:top w:val="single" w:sz="4" w:space="0" w:color="4F81BD"/>
              <w:left w:val="nil"/>
              <w:bottom w:val="single" w:sz="4" w:space="0" w:color="000000"/>
              <w:right w:val="nil"/>
            </w:tcBorders>
            <w:shd w:val="clear" w:color="auto" w:fill="auto"/>
            <w:noWrap/>
            <w:vAlign w:val="bottom"/>
            <w:hideMark/>
          </w:tcPr>
          <w:p w14:paraId="5142E3A4"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A5"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000000" w:fill="F2F2F2"/>
            <w:noWrap/>
            <w:vAlign w:val="bottom"/>
            <w:hideMark/>
          </w:tcPr>
          <w:p w14:paraId="5142E3A6"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159.515</w:t>
            </w:r>
          </w:p>
        </w:tc>
        <w:tc>
          <w:tcPr>
            <w:tcW w:w="284" w:type="dxa"/>
            <w:tcBorders>
              <w:top w:val="nil"/>
              <w:left w:val="nil"/>
              <w:bottom w:val="nil"/>
              <w:right w:val="nil"/>
            </w:tcBorders>
            <w:shd w:val="clear" w:color="auto" w:fill="auto"/>
            <w:noWrap/>
            <w:vAlign w:val="bottom"/>
            <w:hideMark/>
          </w:tcPr>
          <w:p w14:paraId="5142E3A7"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auto" w:fill="auto"/>
            <w:noWrap/>
            <w:vAlign w:val="bottom"/>
            <w:hideMark/>
          </w:tcPr>
          <w:p w14:paraId="5142E3A8"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145.355</w:t>
            </w:r>
          </w:p>
        </w:tc>
      </w:tr>
      <w:tr w:rsidR="00363E89" w:rsidRPr="00005C17" w14:paraId="5142E3B0" w14:textId="77777777" w:rsidTr="006623D7">
        <w:trPr>
          <w:trHeight w:val="285"/>
        </w:trPr>
        <w:tc>
          <w:tcPr>
            <w:tcW w:w="5417" w:type="dxa"/>
            <w:tcBorders>
              <w:top w:val="nil"/>
              <w:left w:val="nil"/>
              <w:bottom w:val="single" w:sz="4" w:space="0" w:color="000000"/>
              <w:right w:val="nil"/>
            </w:tcBorders>
            <w:shd w:val="clear" w:color="auto" w:fill="auto"/>
            <w:noWrap/>
            <w:vAlign w:val="bottom"/>
            <w:hideMark/>
          </w:tcPr>
          <w:p w14:paraId="5142E3AA"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Άλλα καθαρά έσοδα εκμετάλλευσης</w:t>
            </w:r>
          </w:p>
        </w:tc>
        <w:tc>
          <w:tcPr>
            <w:tcW w:w="679" w:type="dxa"/>
            <w:tcBorders>
              <w:top w:val="nil"/>
              <w:left w:val="nil"/>
              <w:bottom w:val="single" w:sz="4" w:space="0" w:color="000000"/>
              <w:right w:val="nil"/>
            </w:tcBorders>
            <w:shd w:val="clear" w:color="auto" w:fill="auto"/>
            <w:noWrap/>
            <w:vAlign w:val="bottom"/>
            <w:hideMark/>
          </w:tcPr>
          <w:p w14:paraId="5142E3AB"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AC"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000000" w:fill="F2F2F2"/>
            <w:noWrap/>
            <w:vAlign w:val="bottom"/>
            <w:hideMark/>
          </w:tcPr>
          <w:p w14:paraId="5142E3AD"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879</w:t>
            </w:r>
          </w:p>
        </w:tc>
        <w:tc>
          <w:tcPr>
            <w:tcW w:w="284" w:type="dxa"/>
            <w:tcBorders>
              <w:top w:val="nil"/>
              <w:left w:val="nil"/>
              <w:bottom w:val="nil"/>
              <w:right w:val="nil"/>
            </w:tcBorders>
            <w:shd w:val="clear" w:color="auto" w:fill="auto"/>
            <w:noWrap/>
            <w:vAlign w:val="bottom"/>
            <w:hideMark/>
          </w:tcPr>
          <w:p w14:paraId="5142E3AE"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auto" w:fill="auto"/>
            <w:noWrap/>
            <w:vAlign w:val="bottom"/>
            <w:hideMark/>
          </w:tcPr>
          <w:p w14:paraId="5142E3AF"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2.111</w:t>
            </w:r>
          </w:p>
        </w:tc>
      </w:tr>
      <w:tr w:rsidR="00363E89" w:rsidRPr="00005C17" w14:paraId="5142E3B7" w14:textId="77777777" w:rsidTr="006623D7">
        <w:trPr>
          <w:trHeight w:val="315"/>
        </w:trPr>
        <w:tc>
          <w:tcPr>
            <w:tcW w:w="5417" w:type="dxa"/>
            <w:tcBorders>
              <w:top w:val="nil"/>
              <w:left w:val="nil"/>
              <w:bottom w:val="single" w:sz="4" w:space="0" w:color="000000"/>
              <w:right w:val="nil"/>
            </w:tcBorders>
            <w:shd w:val="clear" w:color="000000" w:fill="FFFFFF"/>
            <w:noWrap/>
            <w:vAlign w:val="bottom"/>
            <w:hideMark/>
          </w:tcPr>
          <w:p w14:paraId="5142E3B1"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Έξοδα διοικητικής λειτουργίας και διάθεσης</w:t>
            </w:r>
          </w:p>
        </w:tc>
        <w:tc>
          <w:tcPr>
            <w:tcW w:w="679" w:type="dxa"/>
            <w:tcBorders>
              <w:top w:val="nil"/>
              <w:left w:val="nil"/>
              <w:bottom w:val="single" w:sz="4" w:space="0" w:color="000000"/>
              <w:right w:val="nil"/>
            </w:tcBorders>
            <w:shd w:val="clear" w:color="000000" w:fill="FFFFFF"/>
            <w:noWrap/>
            <w:vAlign w:val="bottom"/>
            <w:hideMark/>
          </w:tcPr>
          <w:p w14:paraId="5142E3B2"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B3"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000000" w:fill="F2F2F2"/>
            <w:noWrap/>
            <w:vAlign w:val="bottom"/>
            <w:hideMark/>
          </w:tcPr>
          <w:p w14:paraId="5142E3B4"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-83.402</w:t>
            </w:r>
          </w:p>
        </w:tc>
        <w:tc>
          <w:tcPr>
            <w:tcW w:w="284" w:type="dxa"/>
            <w:tcBorders>
              <w:top w:val="nil"/>
              <w:left w:val="nil"/>
              <w:bottom w:val="nil"/>
              <w:right w:val="nil"/>
            </w:tcBorders>
            <w:shd w:val="clear" w:color="auto" w:fill="auto"/>
            <w:noWrap/>
            <w:vAlign w:val="bottom"/>
            <w:hideMark/>
          </w:tcPr>
          <w:p w14:paraId="5142E3B5"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auto" w:fill="auto"/>
            <w:noWrap/>
            <w:vAlign w:val="bottom"/>
            <w:hideMark/>
          </w:tcPr>
          <w:p w14:paraId="5142E3B6"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-81.122</w:t>
            </w:r>
          </w:p>
        </w:tc>
      </w:tr>
      <w:tr w:rsidR="00363E89" w:rsidRPr="00005C17" w14:paraId="5142E3BE" w14:textId="77777777" w:rsidTr="006623D7">
        <w:trPr>
          <w:trHeight w:val="285"/>
        </w:trPr>
        <w:tc>
          <w:tcPr>
            <w:tcW w:w="5417" w:type="dxa"/>
            <w:tcBorders>
              <w:top w:val="single" w:sz="4" w:space="0" w:color="4F81BD"/>
              <w:left w:val="nil"/>
              <w:bottom w:val="single" w:sz="4" w:space="0" w:color="000000"/>
              <w:right w:val="nil"/>
            </w:tcBorders>
            <w:shd w:val="clear" w:color="auto" w:fill="auto"/>
            <w:noWrap/>
            <w:vAlign w:val="bottom"/>
            <w:hideMark/>
          </w:tcPr>
          <w:p w14:paraId="5142E3B8"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Λειτουργικά κέρδη </w:t>
            </w:r>
          </w:p>
        </w:tc>
        <w:tc>
          <w:tcPr>
            <w:tcW w:w="679" w:type="dxa"/>
            <w:tcBorders>
              <w:top w:val="single" w:sz="4" w:space="0" w:color="4F81BD"/>
              <w:left w:val="nil"/>
              <w:bottom w:val="single" w:sz="4" w:space="0" w:color="000000"/>
              <w:right w:val="nil"/>
            </w:tcBorders>
            <w:shd w:val="clear" w:color="auto" w:fill="auto"/>
            <w:noWrap/>
            <w:vAlign w:val="bottom"/>
            <w:hideMark/>
          </w:tcPr>
          <w:p w14:paraId="5142E3B9"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BA"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000000" w:fill="F2F2F2"/>
            <w:noWrap/>
            <w:vAlign w:val="bottom"/>
            <w:hideMark/>
          </w:tcPr>
          <w:p w14:paraId="5142E3BB"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76.992</w:t>
            </w:r>
          </w:p>
        </w:tc>
        <w:tc>
          <w:tcPr>
            <w:tcW w:w="284" w:type="dxa"/>
            <w:tcBorders>
              <w:top w:val="nil"/>
              <w:left w:val="nil"/>
              <w:bottom w:val="nil"/>
              <w:right w:val="nil"/>
            </w:tcBorders>
            <w:shd w:val="clear" w:color="auto" w:fill="auto"/>
            <w:noWrap/>
            <w:vAlign w:val="bottom"/>
            <w:hideMark/>
          </w:tcPr>
          <w:p w14:paraId="5142E3BC"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auto" w:fill="auto"/>
            <w:noWrap/>
            <w:vAlign w:val="bottom"/>
            <w:hideMark/>
          </w:tcPr>
          <w:p w14:paraId="5142E3BD"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66.344</w:t>
            </w:r>
          </w:p>
        </w:tc>
      </w:tr>
      <w:tr w:rsidR="00363E89" w:rsidRPr="00005C17" w14:paraId="5142E3C5" w14:textId="77777777" w:rsidTr="006623D7">
        <w:trPr>
          <w:trHeight w:val="330"/>
        </w:trPr>
        <w:tc>
          <w:tcPr>
            <w:tcW w:w="5417" w:type="dxa"/>
            <w:tcBorders>
              <w:top w:val="nil"/>
              <w:left w:val="nil"/>
              <w:bottom w:val="single" w:sz="4" w:space="0" w:color="000000"/>
              <w:right w:val="nil"/>
            </w:tcBorders>
            <w:shd w:val="clear" w:color="auto" w:fill="auto"/>
            <w:noWrap/>
            <w:vAlign w:val="bottom"/>
            <w:hideMark/>
          </w:tcPr>
          <w:p w14:paraId="5142E3BF"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Καθαρά έξοδα χρηματοοικονομικής λειτουργίας</w:t>
            </w:r>
          </w:p>
        </w:tc>
        <w:tc>
          <w:tcPr>
            <w:tcW w:w="679" w:type="dxa"/>
            <w:tcBorders>
              <w:top w:val="nil"/>
              <w:left w:val="nil"/>
              <w:bottom w:val="single" w:sz="4" w:space="0" w:color="000000"/>
              <w:right w:val="nil"/>
            </w:tcBorders>
            <w:shd w:val="clear" w:color="auto" w:fill="auto"/>
            <w:noWrap/>
            <w:vAlign w:val="bottom"/>
            <w:hideMark/>
          </w:tcPr>
          <w:p w14:paraId="5142E3C0"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C1"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000000" w:fill="F2F2F2"/>
            <w:noWrap/>
            <w:vAlign w:val="bottom"/>
            <w:hideMark/>
          </w:tcPr>
          <w:p w14:paraId="5142E3C2"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-15.718</w:t>
            </w:r>
          </w:p>
        </w:tc>
        <w:tc>
          <w:tcPr>
            <w:tcW w:w="284" w:type="dxa"/>
            <w:tcBorders>
              <w:top w:val="nil"/>
              <w:left w:val="nil"/>
              <w:bottom w:val="nil"/>
              <w:right w:val="nil"/>
            </w:tcBorders>
            <w:shd w:val="clear" w:color="auto" w:fill="auto"/>
            <w:noWrap/>
            <w:vAlign w:val="bottom"/>
            <w:hideMark/>
          </w:tcPr>
          <w:p w14:paraId="5142E3C3"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auto" w:fill="auto"/>
            <w:noWrap/>
            <w:vAlign w:val="bottom"/>
            <w:hideMark/>
          </w:tcPr>
          <w:p w14:paraId="5142E3C4"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-32.121</w:t>
            </w:r>
          </w:p>
        </w:tc>
      </w:tr>
      <w:tr w:rsidR="00363E89" w:rsidRPr="00005C17" w14:paraId="5142E3CC" w14:textId="77777777" w:rsidTr="006623D7">
        <w:trPr>
          <w:trHeight w:val="315"/>
        </w:trPr>
        <w:tc>
          <w:tcPr>
            <w:tcW w:w="5417" w:type="dxa"/>
            <w:tcBorders>
              <w:top w:val="nil"/>
              <w:left w:val="nil"/>
              <w:bottom w:val="single" w:sz="4" w:space="0" w:color="000000"/>
              <w:right w:val="nil"/>
            </w:tcBorders>
            <w:shd w:val="clear" w:color="auto" w:fill="auto"/>
            <w:noWrap/>
            <w:vAlign w:val="bottom"/>
            <w:hideMark/>
          </w:tcPr>
          <w:p w14:paraId="5142E3C6"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Κέρδη/(ζημιές) από συναλλαγματικές διαφορές</w:t>
            </w:r>
          </w:p>
        </w:tc>
        <w:tc>
          <w:tcPr>
            <w:tcW w:w="679" w:type="dxa"/>
            <w:tcBorders>
              <w:top w:val="nil"/>
              <w:left w:val="nil"/>
              <w:bottom w:val="single" w:sz="4" w:space="0" w:color="000000"/>
              <w:right w:val="nil"/>
            </w:tcBorders>
            <w:shd w:val="clear" w:color="auto" w:fill="auto"/>
            <w:noWrap/>
            <w:vAlign w:val="bottom"/>
            <w:hideMark/>
          </w:tcPr>
          <w:p w14:paraId="5142E3C7"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C8"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000000" w:fill="F2F2F2"/>
            <w:noWrap/>
            <w:vAlign w:val="bottom"/>
            <w:hideMark/>
          </w:tcPr>
          <w:p w14:paraId="5142E3C9"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3.159</w:t>
            </w:r>
          </w:p>
        </w:tc>
        <w:tc>
          <w:tcPr>
            <w:tcW w:w="284" w:type="dxa"/>
            <w:tcBorders>
              <w:top w:val="nil"/>
              <w:left w:val="nil"/>
              <w:bottom w:val="nil"/>
              <w:right w:val="nil"/>
            </w:tcBorders>
            <w:shd w:val="clear" w:color="auto" w:fill="auto"/>
            <w:noWrap/>
            <w:vAlign w:val="bottom"/>
            <w:hideMark/>
          </w:tcPr>
          <w:p w14:paraId="5142E3CA"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auto" w:fill="auto"/>
            <w:noWrap/>
            <w:vAlign w:val="bottom"/>
            <w:hideMark/>
          </w:tcPr>
          <w:p w14:paraId="5142E3CB"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-4.057</w:t>
            </w:r>
          </w:p>
        </w:tc>
      </w:tr>
      <w:tr w:rsidR="00363E89" w:rsidRPr="007A6EC1" w14:paraId="5142E3D1" w14:textId="77777777" w:rsidTr="006623D7">
        <w:trPr>
          <w:trHeight w:val="315"/>
        </w:trPr>
        <w:tc>
          <w:tcPr>
            <w:tcW w:w="6379" w:type="dxa"/>
            <w:gridSpan w:val="3"/>
            <w:tcBorders>
              <w:top w:val="nil"/>
              <w:left w:val="nil"/>
              <w:bottom w:val="nil"/>
              <w:right w:val="nil"/>
            </w:tcBorders>
            <w:shd w:val="clear" w:color="auto" w:fill="auto"/>
            <w:noWrap/>
            <w:vAlign w:val="bottom"/>
            <w:hideMark/>
          </w:tcPr>
          <w:p w14:paraId="5142E3CD"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Συμμετοχή στα κέρδη/(ζημιές) συγγενών εταιριών και κοινοπραξιών</w:t>
            </w:r>
          </w:p>
        </w:tc>
        <w:tc>
          <w:tcPr>
            <w:tcW w:w="1559" w:type="dxa"/>
            <w:tcBorders>
              <w:top w:val="nil"/>
              <w:left w:val="nil"/>
              <w:bottom w:val="nil"/>
              <w:right w:val="nil"/>
            </w:tcBorders>
            <w:shd w:val="clear" w:color="000000" w:fill="F2F2F2"/>
            <w:noWrap/>
            <w:vAlign w:val="bottom"/>
            <w:hideMark/>
          </w:tcPr>
          <w:p w14:paraId="5142E3CE"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1.144</w:t>
            </w:r>
          </w:p>
        </w:tc>
        <w:tc>
          <w:tcPr>
            <w:tcW w:w="284" w:type="dxa"/>
            <w:tcBorders>
              <w:top w:val="nil"/>
              <w:left w:val="nil"/>
              <w:bottom w:val="nil"/>
              <w:right w:val="nil"/>
            </w:tcBorders>
            <w:shd w:val="clear" w:color="auto" w:fill="auto"/>
            <w:noWrap/>
            <w:vAlign w:val="bottom"/>
            <w:hideMark/>
          </w:tcPr>
          <w:p w14:paraId="5142E3CF"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nil"/>
              <w:right w:val="nil"/>
            </w:tcBorders>
            <w:shd w:val="clear" w:color="auto" w:fill="auto"/>
            <w:noWrap/>
            <w:vAlign w:val="bottom"/>
            <w:hideMark/>
          </w:tcPr>
          <w:p w14:paraId="5142E3D0"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-1.785</w:t>
            </w:r>
          </w:p>
        </w:tc>
      </w:tr>
      <w:tr w:rsidR="00363E89" w:rsidRPr="00005C17" w14:paraId="5142E3D8" w14:textId="77777777" w:rsidTr="006623D7">
        <w:trPr>
          <w:trHeight w:val="285"/>
        </w:trPr>
        <w:tc>
          <w:tcPr>
            <w:tcW w:w="5417" w:type="dxa"/>
            <w:tcBorders>
              <w:top w:val="single" w:sz="4" w:space="0" w:color="4F81BD"/>
              <w:left w:val="nil"/>
              <w:bottom w:val="single" w:sz="4" w:space="0" w:color="000000"/>
              <w:right w:val="nil"/>
            </w:tcBorders>
            <w:shd w:val="clear" w:color="auto" w:fill="auto"/>
            <w:noWrap/>
            <w:vAlign w:val="bottom"/>
            <w:hideMark/>
          </w:tcPr>
          <w:p w14:paraId="5142E3D2"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Κέρδη προ φόρων</w:t>
            </w:r>
          </w:p>
        </w:tc>
        <w:tc>
          <w:tcPr>
            <w:tcW w:w="679" w:type="dxa"/>
            <w:tcBorders>
              <w:top w:val="single" w:sz="4" w:space="0" w:color="4F81BD"/>
              <w:left w:val="nil"/>
              <w:bottom w:val="single" w:sz="4" w:space="0" w:color="000000"/>
              <w:right w:val="nil"/>
            </w:tcBorders>
            <w:shd w:val="clear" w:color="auto" w:fill="auto"/>
            <w:noWrap/>
            <w:vAlign w:val="bottom"/>
            <w:hideMark/>
          </w:tcPr>
          <w:p w14:paraId="5142E3D3"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D4"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000000" w:fill="F2F2F2"/>
            <w:noWrap/>
            <w:vAlign w:val="bottom"/>
            <w:hideMark/>
          </w:tcPr>
          <w:p w14:paraId="5142E3D5"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65.577</w:t>
            </w:r>
          </w:p>
        </w:tc>
        <w:tc>
          <w:tcPr>
            <w:tcW w:w="284" w:type="dxa"/>
            <w:tcBorders>
              <w:top w:val="nil"/>
              <w:left w:val="nil"/>
              <w:bottom w:val="nil"/>
              <w:right w:val="nil"/>
            </w:tcBorders>
            <w:shd w:val="clear" w:color="auto" w:fill="auto"/>
            <w:noWrap/>
            <w:vAlign w:val="bottom"/>
            <w:hideMark/>
          </w:tcPr>
          <w:p w14:paraId="5142E3D6"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single" w:sz="4" w:space="0" w:color="4F81BD"/>
              <w:left w:val="nil"/>
              <w:bottom w:val="single" w:sz="4" w:space="0" w:color="000000"/>
              <w:right w:val="nil"/>
            </w:tcBorders>
            <w:shd w:val="clear" w:color="auto" w:fill="auto"/>
            <w:noWrap/>
            <w:vAlign w:val="bottom"/>
            <w:hideMark/>
          </w:tcPr>
          <w:p w14:paraId="5142E3D7"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28.381</w:t>
            </w:r>
          </w:p>
        </w:tc>
      </w:tr>
      <w:tr w:rsidR="00363E89" w:rsidRPr="00005C17" w14:paraId="5142E3DF" w14:textId="77777777" w:rsidTr="006623D7">
        <w:trPr>
          <w:trHeight w:val="315"/>
        </w:trPr>
        <w:tc>
          <w:tcPr>
            <w:tcW w:w="5417" w:type="dxa"/>
            <w:tcBorders>
              <w:top w:val="nil"/>
              <w:left w:val="nil"/>
              <w:bottom w:val="nil"/>
              <w:right w:val="nil"/>
            </w:tcBorders>
            <w:shd w:val="clear" w:color="auto" w:fill="auto"/>
            <w:noWrap/>
            <w:vAlign w:val="bottom"/>
            <w:hideMark/>
          </w:tcPr>
          <w:p w14:paraId="5142E3D9"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Φόρος εισοδήματος</w:t>
            </w:r>
          </w:p>
        </w:tc>
        <w:tc>
          <w:tcPr>
            <w:tcW w:w="679" w:type="dxa"/>
            <w:tcBorders>
              <w:top w:val="nil"/>
              <w:left w:val="nil"/>
              <w:bottom w:val="nil"/>
              <w:right w:val="nil"/>
            </w:tcBorders>
            <w:shd w:val="clear" w:color="auto" w:fill="auto"/>
            <w:noWrap/>
            <w:vAlign w:val="bottom"/>
            <w:hideMark/>
          </w:tcPr>
          <w:p w14:paraId="5142E3DA" w14:textId="77777777" w:rsidR="00363E89" w:rsidRPr="007A6EC1" w:rsidRDefault="00363E89" w:rsidP="006623D7">
            <w:pPr>
              <w:rPr>
                <w:rFonts w:ascii="Calibri" w:hAnsi="Calibri" w:cs="Calibri"/>
                <w:color w:val="000000"/>
                <w:sz w:val="21"/>
                <w:szCs w:val="21"/>
                <w:lang w:val="el-GR"/>
              </w:rPr>
            </w:pPr>
          </w:p>
        </w:tc>
        <w:tc>
          <w:tcPr>
            <w:tcW w:w="283" w:type="dxa"/>
            <w:tcBorders>
              <w:top w:val="nil"/>
              <w:left w:val="nil"/>
              <w:bottom w:val="nil"/>
              <w:right w:val="nil"/>
            </w:tcBorders>
            <w:shd w:val="clear" w:color="auto" w:fill="auto"/>
            <w:noWrap/>
            <w:vAlign w:val="bottom"/>
            <w:hideMark/>
          </w:tcPr>
          <w:p w14:paraId="5142E3DB"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000000" w:fill="F2F2F2"/>
            <w:noWrap/>
            <w:vAlign w:val="bottom"/>
            <w:hideMark/>
          </w:tcPr>
          <w:p w14:paraId="5142E3DC"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-7.565</w:t>
            </w:r>
          </w:p>
        </w:tc>
        <w:tc>
          <w:tcPr>
            <w:tcW w:w="284" w:type="dxa"/>
            <w:tcBorders>
              <w:top w:val="nil"/>
              <w:left w:val="nil"/>
              <w:bottom w:val="nil"/>
              <w:right w:val="nil"/>
            </w:tcBorders>
            <w:shd w:val="clear" w:color="auto" w:fill="auto"/>
            <w:noWrap/>
            <w:vAlign w:val="bottom"/>
            <w:hideMark/>
          </w:tcPr>
          <w:p w14:paraId="5142E3DD"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nil"/>
              <w:right w:val="nil"/>
            </w:tcBorders>
            <w:shd w:val="clear" w:color="auto" w:fill="auto"/>
            <w:noWrap/>
            <w:vAlign w:val="bottom"/>
            <w:hideMark/>
          </w:tcPr>
          <w:p w14:paraId="5142E3DE"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-6.337</w:t>
            </w:r>
          </w:p>
        </w:tc>
      </w:tr>
      <w:tr w:rsidR="00363E89" w:rsidRPr="00005C17" w14:paraId="5142E3E6" w14:textId="77777777" w:rsidTr="006623D7">
        <w:trPr>
          <w:trHeight w:val="285"/>
        </w:trPr>
        <w:tc>
          <w:tcPr>
            <w:tcW w:w="5417" w:type="dxa"/>
            <w:tcBorders>
              <w:top w:val="single" w:sz="4" w:space="0" w:color="4F81BD"/>
              <w:left w:val="nil"/>
              <w:bottom w:val="single" w:sz="4" w:space="0" w:color="4F81BD"/>
              <w:right w:val="nil"/>
            </w:tcBorders>
            <w:shd w:val="clear" w:color="auto" w:fill="auto"/>
            <w:noWrap/>
            <w:vAlign w:val="bottom"/>
            <w:hideMark/>
          </w:tcPr>
          <w:p w14:paraId="5142E3E0"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Κέρδη μετά από φόρους</w:t>
            </w:r>
          </w:p>
        </w:tc>
        <w:tc>
          <w:tcPr>
            <w:tcW w:w="679" w:type="dxa"/>
            <w:tcBorders>
              <w:top w:val="single" w:sz="4" w:space="0" w:color="4F81BD"/>
              <w:left w:val="nil"/>
              <w:bottom w:val="single" w:sz="4" w:space="0" w:color="4F81BD"/>
              <w:right w:val="nil"/>
            </w:tcBorders>
            <w:shd w:val="clear" w:color="auto" w:fill="auto"/>
            <w:noWrap/>
            <w:vAlign w:val="bottom"/>
            <w:hideMark/>
          </w:tcPr>
          <w:p w14:paraId="5142E3E1"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E2"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4F81BD"/>
              <w:left w:val="nil"/>
              <w:bottom w:val="single" w:sz="4" w:space="0" w:color="4F81BD"/>
              <w:right w:val="nil"/>
            </w:tcBorders>
            <w:shd w:val="clear" w:color="000000" w:fill="F2F2F2"/>
            <w:noWrap/>
            <w:vAlign w:val="bottom"/>
            <w:hideMark/>
          </w:tcPr>
          <w:p w14:paraId="5142E3E3"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58.012</w:t>
            </w:r>
          </w:p>
        </w:tc>
        <w:tc>
          <w:tcPr>
            <w:tcW w:w="284" w:type="dxa"/>
            <w:tcBorders>
              <w:top w:val="nil"/>
              <w:left w:val="nil"/>
              <w:bottom w:val="nil"/>
              <w:right w:val="nil"/>
            </w:tcBorders>
            <w:shd w:val="clear" w:color="auto" w:fill="auto"/>
            <w:noWrap/>
            <w:vAlign w:val="bottom"/>
            <w:hideMark/>
          </w:tcPr>
          <w:p w14:paraId="5142E3E4"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single" w:sz="4" w:space="0" w:color="4F81BD"/>
              <w:left w:val="nil"/>
              <w:bottom w:val="single" w:sz="4" w:space="0" w:color="4F81BD"/>
              <w:right w:val="nil"/>
            </w:tcBorders>
            <w:shd w:val="clear" w:color="auto" w:fill="auto"/>
            <w:noWrap/>
            <w:vAlign w:val="bottom"/>
            <w:hideMark/>
          </w:tcPr>
          <w:p w14:paraId="5142E3E5"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22.044</w:t>
            </w:r>
          </w:p>
        </w:tc>
      </w:tr>
      <w:tr w:rsidR="00363E89" w:rsidRPr="00005C17" w14:paraId="5142E3ED" w14:textId="77777777" w:rsidTr="006623D7">
        <w:trPr>
          <w:trHeight w:val="315"/>
        </w:trPr>
        <w:tc>
          <w:tcPr>
            <w:tcW w:w="5417" w:type="dxa"/>
            <w:tcBorders>
              <w:top w:val="nil"/>
              <w:left w:val="nil"/>
              <w:bottom w:val="nil"/>
              <w:right w:val="nil"/>
            </w:tcBorders>
            <w:shd w:val="clear" w:color="auto" w:fill="auto"/>
            <w:noWrap/>
            <w:vAlign w:val="bottom"/>
            <w:hideMark/>
          </w:tcPr>
          <w:p w14:paraId="5142E3E7" w14:textId="77777777" w:rsidR="00363E89" w:rsidRPr="007A6EC1" w:rsidRDefault="00363E89" w:rsidP="006623D7">
            <w:pPr>
              <w:jc w:val="right"/>
              <w:rPr>
                <w:rFonts w:ascii="Calibri" w:hAnsi="Calibri" w:cs="Calibri"/>
                <w:b/>
                <w:bCs/>
                <w:color w:val="000000"/>
                <w:sz w:val="21"/>
                <w:szCs w:val="21"/>
                <w:lang w:val="el-GR"/>
              </w:rPr>
            </w:pPr>
          </w:p>
        </w:tc>
        <w:tc>
          <w:tcPr>
            <w:tcW w:w="679" w:type="dxa"/>
            <w:tcBorders>
              <w:top w:val="nil"/>
              <w:left w:val="nil"/>
              <w:bottom w:val="nil"/>
              <w:right w:val="nil"/>
            </w:tcBorders>
            <w:shd w:val="clear" w:color="auto" w:fill="auto"/>
            <w:noWrap/>
            <w:vAlign w:val="bottom"/>
            <w:hideMark/>
          </w:tcPr>
          <w:p w14:paraId="5142E3E8"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3E9"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auto" w:fill="auto"/>
            <w:noWrap/>
            <w:vAlign w:val="bottom"/>
            <w:hideMark/>
          </w:tcPr>
          <w:p w14:paraId="5142E3EA" w14:textId="77777777" w:rsidR="00363E89" w:rsidRPr="007A6EC1" w:rsidRDefault="00363E89" w:rsidP="006623D7">
            <w:pPr>
              <w:jc w:val="center"/>
              <w:rPr>
                <w:sz w:val="20"/>
                <w:szCs w:val="20"/>
                <w:lang w:val="el-GR"/>
              </w:rPr>
            </w:pPr>
          </w:p>
        </w:tc>
        <w:tc>
          <w:tcPr>
            <w:tcW w:w="284" w:type="dxa"/>
            <w:tcBorders>
              <w:top w:val="nil"/>
              <w:left w:val="nil"/>
              <w:bottom w:val="nil"/>
              <w:right w:val="nil"/>
            </w:tcBorders>
            <w:shd w:val="clear" w:color="auto" w:fill="auto"/>
            <w:noWrap/>
            <w:vAlign w:val="bottom"/>
            <w:hideMark/>
          </w:tcPr>
          <w:p w14:paraId="5142E3EB"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000000" w:fill="FFFFFF"/>
            <w:noWrap/>
            <w:vAlign w:val="bottom"/>
            <w:hideMark/>
          </w:tcPr>
          <w:p w14:paraId="5142E3EC"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 </w:t>
            </w:r>
          </w:p>
        </w:tc>
      </w:tr>
      <w:tr w:rsidR="00363E89" w:rsidRPr="00F9367B" w14:paraId="5142E3F4" w14:textId="77777777" w:rsidTr="006623D7">
        <w:trPr>
          <w:trHeight w:val="315"/>
        </w:trPr>
        <w:tc>
          <w:tcPr>
            <w:tcW w:w="5417" w:type="dxa"/>
            <w:tcBorders>
              <w:top w:val="nil"/>
              <w:left w:val="nil"/>
              <w:bottom w:val="single" w:sz="4" w:space="0" w:color="000000"/>
              <w:right w:val="nil"/>
            </w:tcBorders>
            <w:shd w:val="clear" w:color="auto" w:fill="auto"/>
            <w:noWrap/>
            <w:vAlign w:val="bottom"/>
            <w:hideMark/>
          </w:tcPr>
          <w:p w14:paraId="5142E3EE" w14:textId="77777777" w:rsidR="00363E89" w:rsidRPr="007A6EC1" w:rsidRDefault="00363E89" w:rsidP="006623D7">
            <w:pPr>
              <w:rPr>
                <w:rFonts w:ascii="Calibri" w:hAnsi="Calibri" w:cs="Calibri"/>
                <w:b/>
                <w:bCs/>
                <w:color w:val="000000"/>
                <w:sz w:val="21"/>
                <w:szCs w:val="21"/>
                <w:u w:val="single"/>
                <w:lang w:val="el-GR"/>
              </w:rPr>
            </w:pPr>
            <w:r w:rsidRPr="007A6EC1">
              <w:rPr>
                <w:rFonts w:ascii="Calibri" w:hAnsi="Calibri" w:cs="Calibri"/>
                <w:b/>
                <w:bCs/>
                <w:color w:val="000000"/>
                <w:sz w:val="21"/>
                <w:szCs w:val="21"/>
                <w:u w:val="single"/>
                <w:lang w:val="el-GR"/>
              </w:rPr>
              <w:t>Τα καθαρά κέρδη αναλογούν σε :</w:t>
            </w:r>
          </w:p>
        </w:tc>
        <w:tc>
          <w:tcPr>
            <w:tcW w:w="679" w:type="dxa"/>
            <w:tcBorders>
              <w:top w:val="nil"/>
              <w:left w:val="nil"/>
              <w:bottom w:val="nil"/>
              <w:right w:val="nil"/>
            </w:tcBorders>
            <w:shd w:val="clear" w:color="auto" w:fill="auto"/>
            <w:noWrap/>
            <w:vAlign w:val="bottom"/>
            <w:hideMark/>
          </w:tcPr>
          <w:p w14:paraId="5142E3EF" w14:textId="77777777" w:rsidR="00363E89" w:rsidRPr="007A6EC1" w:rsidRDefault="00363E89" w:rsidP="006623D7">
            <w:pPr>
              <w:rPr>
                <w:rFonts w:ascii="Calibri" w:hAnsi="Calibri" w:cs="Calibri"/>
                <w:b/>
                <w:bCs/>
                <w:color w:val="000000"/>
                <w:sz w:val="21"/>
                <w:szCs w:val="21"/>
                <w:u w:val="single"/>
                <w:lang w:val="el-GR"/>
              </w:rPr>
            </w:pPr>
          </w:p>
        </w:tc>
        <w:tc>
          <w:tcPr>
            <w:tcW w:w="283" w:type="dxa"/>
            <w:tcBorders>
              <w:top w:val="nil"/>
              <w:left w:val="nil"/>
              <w:bottom w:val="nil"/>
              <w:right w:val="nil"/>
            </w:tcBorders>
            <w:shd w:val="clear" w:color="auto" w:fill="auto"/>
            <w:noWrap/>
            <w:vAlign w:val="bottom"/>
            <w:hideMark/>
          </w:tcPr>
          <w:p w14:paraId="5142E3F0"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auto" w:fill="auto"/>
            <w:noWrap/>
            <w:vAlign w:val="bottom"/>
            <w:hideMark/>
          </w:tcPr>
          <w:p w14:paraId="5142E3F1" w14:textId="77777777" w:rsidR="00363E89" w:rsidRPr="007A6EC1" w:rsidRDefault="00363E89" w:rsidP="006623D7">
            <w:pPr>
              <w:jc w:val="center"/>
              <w:rPr>
                <w:sz w:val="20"/>
                <w:szCs w:val="20"/>
                <w:lang w:val="el-GR"/>
              </w:rPr>
            </w:pPr>
          </w:p>
        </w:tc>
        <w:tc>
          <w:tcPr>
            <w:tcW w:w="284" w:type="dxa"/>
            <w:tcBorders>
              <w:top w:val="nil"/>
              <w:left w:val="nil"/>
              <w:bottom w:val="nil"/>
              <w:right w:val="nil"/>
            </w:tcBorders>
            <w:shd w:val="clear" w:color="auto" w:fill="auto"/>
            <w:noWrap/>
            <w:vAlign w:val="bottom"/>
            <w:hideMark/>
          </w:tcPr>
          <w:p w14:paraId="5142E3F2"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000000" w:fill="FFFFFF"/>
            <w:noWrap/>
            <w:vAlign w:val="bottom"/>
            <w:hideMark/>
          </w:tcPr>
          <w:p w14:paraId="5142E3F3"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 </w:t>
            </w:r>
          </w:p>
        </w:tc>
      </w:tr>
      <w:tr w:rsidR="00363E89" w:rsidRPr="00005C17" w14:paraId="5142E3FB" w14:textId="77777777" w:rsidTr="006623D7">
        <w:trPr>
          <w:trHeight w:val="315"/>
        </w:trPr>
        <w:tc>
          <w:tcPr>
            <w:tcW w:w="5417" w:type="dxa"/>
            <w:tcBorders>
              <w:top w:val="nil"/>
              <w:left w:val="nil"/>
              <w:bottom w:val="single" w:sz="4" w:space="0" w:color="000000"/>
              <w:right w:val="nil"/>
            </w:tcBorders>
            <w:shd w:val="clear" w:color="auto" w:fill="auto"/>
            <w:noWrap/>
            <w:vAlign w:val="bottom"/>
            <w:hideMark/>
          </w:tcPr>
          <w:p w14:paraId="5142E3F5"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Μετόχους της Εταιρίας</w:t>
            </w:r>
          </w:p>
        </w:tc>
        <w:tc>
          <w:tcPr>
            <w:tcW w:w="679" w:type="dxa"/>
            <w:tcBorders>
              <w:top w:val="single" w:sz="4" w:space="0" w:color="000000"/>
              <w:left w:val="nil"/>
              <w:bottom w:val="single" w:sz="4" w:space="0" w:color="000000"/>
              <w:right w:val="nil"/>
            </w:tcBorders>
            <w:shd w:val="clear" w:color="auto" w:fill="auto"/>
            <w:noWrap/>
            <w:vAlign w:val="bottom"/>
            <w:hideMark/>
          </w:tcPr>
          <w:p w14:paraId="5142E3F6"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F7"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single" w:sz="4" w:space="0" w:color="000000"/>
              <w:left w:val="nil"/>
              <w:bottom w:val="single" w:sz="4" w:space="0" w:color="000000"/>
              <w:right w:val="nil"/>
            </w:tcBorders>
            <w:shd w:val="clear" w:color="000000" w:fill="F2F2F2"/>
            <w:noWrap/>
            <w:vAlign w:val="bottom"/>
            <w:hideMark/>
          </w:tcPr>
          <w:p w14:paraId="5142E3F8"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57.961</w:t>
            </w:r>
          </w:p>
        </w:tc>
        <w:tc>
          <w:tcPr>
            <w:tcW w:w="284" w:type="dxa"/>
            <w:tcBorders>
              <w:top w:val="nil"/>
              <w:left w:val="nil"/>
              <w:bottom w:val="nil"/>
              <w:right w:val="nil"/>
            </w:tcBorders>
            <w:shd w:val="clear" w:color="auto" w:fill="auto"/>
            <w:noWrap/>
            <w:vAlign w:val="bottom"/>
            <w:hideMark/>
          </w:tcPr>
          <w:p w14:paraId="5142E3F9"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single" w:sz="4" w:space="0" w:color="000000"/>
              <w:left w:val="nil"/>
              <w:bottom w:val="single" w:sz="4" w:space="0" w:color="000000"/>
              <w:right w:val="nil"/>
            </w:tcBorders>
            <w:shd w:val="clear" w:color="auto" w:fill="auto"/>
            <w:noWrap/>
            <w:vAlign w:val="bottom"/>
            <w:hideMark/>
          </w:tcPr>
          <w:p w14:paraId="5142E3FA"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22.411</w:t>
            </w:r>
          </w:p>
        </w:tc>
      </w:tr>
      <w:tr w:rsidR="00363E89" w:rsidRPr="00005C17" w14:paraId="5142E402" w14:textId="77777777" w:rsidTr="006623D7">
        <w:trPr>
          <w:trHeight w:val="315"/>
        </w:trPr>
        <w:tc>
          <w:tcPr>
            <w:tcW w:w="5417" w:type="dxa"/>
            <w:tcBorders>
              <w:top w:val="nil"/>
              <w:left w:val="nil"/>
              <w:bottom w:val="single" w:sz="4" w:space="0" w:color="000000"/>
              <w:right w:val="nil"/>
            </w:tcBorders>
            <w:shd w:val="clear" w:color="auto" w:fill="auto"/>
            <w:noWrap/>
            <w:vAlign w:val="bottom"/>
            <w:hideMark/>
          </w:tcPr>
          <w:p w14:paraId="5142E3FC"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 xml:space="preserve">Μη </w:t>
            </w:r>
            <w:proofErr w:type="spellStart"/>
            <w:r w:rsidRPr="007A6EC1">
              <w:rPr>
                <w:rFonts w:ascii="Calibri" w:hAnsi="Calibri" w:cs="Calibri"/>
                <w:color w:val="000000"/>
                <w:sz w:val="21"/>
                <w:szCs w:val="21"/>
                <w:lang w:val="el-GR"/>
              </w:rPr>
              <w:t>ελέγχουσες</w:t>
            </w:r>
            <w:proofErr w:type="spellEnd"/>
            <w:r w:rsidRPr="007A6EC1">
              <w:rPr>
                <w:rFonts w:ascii="Calibri" w:hAnsi="Calibri" w:cs="Calibri"/>
                <w:color w:val="000000"/>
                <w:sz w:val="21"/>
                <w:szCs w:val="21"/>
                <w:lang w:val="el-GR"/>
              </w:rPr>
              <w:t xml:space="preserve"> συμμετοχές</w:t>
            </w:r>
          </w:p>
        </w:tc>
        <w:tc>
          <w:tcPr>
            <w:tcW w:w="679" w:type="dxa"/>
            <w:tcBorders>
              <w:top w:val="nil"/>
              <w:left w:val="nil"/>
              <w:bottom w:val="single" w:sz="4" w:space="0" w:color="000000"/>
              <w:right w:val="nil"/>
            </w:tcBorders>
            <w:shd w:val="clear" w:color="auto" w:fill="auto"/>
            <w:noWrap/>
            <w:vAlign w:val="bottom"/>
            <w:hideMark/>
          </w:tcPr>
          <w:p w14:paraId="5142E3FD"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3FE"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nil"/>
              <w:left w:val="nil"/>
              <w:bottom w:val="single" w:sz="4" w:space="0" w:color="4F81BD"/>
              <w:right w:val="nil"/>
            </w:tcBorders>
            <w:shd w:val="clear" w:color="000000" w:fill="F2F2F2"/>
            <w:noWrap/>
            <w:vAlign w:val="bottom"/>
            <w:hideMark/>
          </w:tcPr>
          <w:p w14:paraId="5142E3FF"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51</w:t>
            </w:r>
          </w:p>
        </w:tc>
        <w:tc>
          <w:tcPr>
            <w:tcW w:w="284" w:type="dxa"/>
            <w:tcBorders>
              <w:top w:val="nil"/>
              <w:left w:val="nil"/>
              <w:bottom w:val="nil"/>
              <w:right w:val="nil"/>
            </w:tcBorders>
            <w:shd w:val="clear" w:color="auto" w:fill="auto"/>
            <w:noWrap/>
            <w:vAlign w:val="bottom"/>
            <w:hideMark/>
          </w:tcPr>
          <w:p w14:paraId="5142E400"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4F81BD"/>
              <w:right w:val="nil"/>
            </w:tcBorders>
            <w:shd w:val="clear" w:color="auto" w:fill="auto"/>
            <w:noWrap/>
            <w:vAlign w:val="bottom"/>
            <w:hideMark/>
          </w:tcPr>
          <w:p w14:paraId="5142E401"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-367</w:t>
            </w:r>
          </w:p>
        </w:tc>
      </w:tr>
      <w:tr w:rsidR="00363E89" w:rsidRPr="00005C17" w14:paraId="5142E409" w14:textId="77777777" w:rsidTr="006623D7">
        <w:trPr>
          <w:trHeight w:val="285"/>
        </w:trPr>
        <w:tc>
          <w:tcPr>
            <w:tcW w:w="5417" w:type="dxa"/>
            <w:tcBorders>
              <w:top w:val="nil"/>
              <w:left w:val="nil"/>
              <w:bottom w:val="nil"/>
              <w:right w:val="nil"/>
            </w:tcBorders>
            <w:shd w:val="clear" w:color="auto" w:fill="auto"/>
            <w:noWrap/>
            <w:vAlign w:val="bottom"/>
            <w:hideMark/>
          </w:tcPr>
          <w:p w14:paraId="5142E403" w14:textId="77777777" w:rsidR="00363E89" w:rsidRPr="007A6EC1" w:rsidRDefault="00363E89" w:rsidP="006623D7">
            <w:pPr>
              <w:jc w:val="right"/>
              <w:rPr>
                <w:rFonts w:ascii="Calibri" w:hAnsi="Calibri" w:cs="Calibri"/>
                <w:color w:val="000000"/>
                <w:sz w:val="21"/>
                <w:szCs w:val="21"/>
                <w:lang w:val="el-GR"/>
              </w:rPr>
            </w:pPr>
          </w:p>
        </w:tc>
        <w:tc>
          <w:tcPr>
            <w:tcW w:w="679" w:type="dxa"/>
            <w:tcBorders>
              <w:top w:val="nil"/>
              <w:left w:val="nil"/>
              <w:bottom w:val="nil"/>
              <w:right w:val="nil"/>
            </w:tcBorders>
            <w:shd w:val="clear" w:color="auto" w:fill="auto"/>
            <w:noWrap/>
            <w:vAlign w:val="bottom"/>
            <w:hideMark/>
          </w:tcPr>
          <w:p w14:paraId="5142E404"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405" w14:textId="77777777" w:rsidR="00363E89" w:rsidRPr="007A6EC1" w:rsidRDefault="00363E89" w:rsidP="006623D7">
            <w:pPr>
              <w:jc w:val="center"/>
              <w:rPr>
                <w:sz w:val="20"/>
                <w:szCs w:val="20"/>
                <w:lang w:val="el-GR"/>
              </w:rPr>
            </w:pPr>
          </w:p>
        </w:tc>
        <w:tc>
          <w:tcPr>
            <w:tcW w:w="1559" w:type="dxa"/>
            <w:tcBorders>
              <w:top w:val="nil"/>
              <w:left w:val="nil"/>
              <w:bottom w:val="single" w:sz="4" w:space="0" w:color="4F81BD"/>
              <w:right w:val="nil"/>
            </w:tcBorders>
            <w:shd w:val="clear" w:color="000000" w:fill="F2F2F2"/>
            <w:noWrap/>
            <w:vAlign w:val="bottom"/>
            <w:hideMark/>
          </w:tcPr>
          <w:p w14:paraId="5142E406"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58.012</w:t>
            </w:r>
          </w:p>
        </w:tc>
        <w:tc>
          <w:tcPr>
            <w:tcW w:w="284" w:type="dxa"/>
            <w:tcBorders>
              <w:top w:val="nil"/>
              <w:left w:val="nil"/>
              <w:bottom w:val="nil"/>
              <w:right w:val="nil"/>
            </w:tcBorders>
            <w:shd w:val="clear" w:color="auto" w:fill="auto"/>
            <w:noWrap/>
            <w:vAlign w:val="bottom"/>
            <w:hideMark/>
          </w:tcPr>
          <w:p w14:paraId="5142E407"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nil"/>
              <w:left w:val="nil"/>
              <w:bottom w:val="single" w:sz="4" w:space="0" w:color="4F81BD"/>
              <w:right w:val="nil"/>
            </w:tcBorders>
            <w:shd w:val="clear" w:color="auto" w:fill="auto"/>
            <w:noWrap/>
            <w:vAlign w:val="bottom"/>
            <w:hideMark/>
          </w:tcPr>
          <w:p w14:paraId="5142E408"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22.044</w:t>
            </w:r>
          </w:p>
        </w:tc>
      </w:tr>
      <w:tr w:rsidR="00363E89" w:rsidRPr="00005C17" w14:paraId="5142E410" w14:textId="77777777" w:rsidTr="006623D7">
        <w:trPr>
          <w:trHeight w:val="285"/>
        </w:trPr>
        <w:tc>
          <w:tcPr>
            <w:tcW w:w="5417" w:type="dxa"/>
            <w:tcBorders>
              <w:top w:val="nil"/>
              <w:left w:val="nil"/>
              <w:bottom w:val="nil"/>
              <w:right w:val="nil"/>
            </w:tcBorders>
            <w:shd w:val="clear" w:color="auto" w:fill="auto"/>
            <w:noWrap/>
            <w:vAlign w:val="bottom"/>
            <w:hideMark/>
          </w:tcPr>
          <w:p w14:paraId="5142E40A" w14:textId="77777777" w:rsidR="00363E89" w:rsidRPr="007A6EC1" w:rsidRDefault="00363E89" w:rsidP="006623D7">
            <w:pPr>
              <w:jc w:val="right"/>
              <w:rPr>
                <w:rFonts w:ascii="Calibri" w:hAnsi="Calibri" w:cs="Calibri"/>
                <w:b/>
                <w:bCs/>
                <w:color w:val="000000"/>
                <w:sz w:val="21"/>
                <w:szCs w:val="21"/>
                <w:lang w:val="el-GR"/>
              </w:rPr>
            </w:pPr>
          </w:p>
        </w:tc>
        <w:tc>
          <w:tcPr>
            <w:tcW w:w="679" w:type="dxa"/>
            <w:tcBorders>
              <w:top w:val="nil"/>
              <w:left w:val="nil"/>
              <w:bottom w:val="nil"/>
              <w:right w:val="nil"/>
            </w:tcBorders>
            <w:shd w:val="clear" w:color="auto" w:fill="auto"/>
            <w:noWrap/>
            <w:vAlign w:val="bottom"/>
            <w:hideMark/>
          </w:tcPr>
          <w:p w14:paraId="5142E40B"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40C"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auto" w:fill="auto"/>
            <w:noWrap/>
            <w:vAlign w:val="bottom"/>
            <w:hideMark/>
          </w:tcPr>
          <w:p w14:paraId="5142E40D" w14:textId="77777777" w:rsidR="00363E89" w:rsidRPr="007A6EC1" w:rsidRDefault="00363E89" w:rsidP="006623D7">
            <w:pPr>
              <w:jc w:val="center"/>
              <w:rPr>
                <w:sz w:val="20"/>
                <w:szCs w:val="20"/>
                <w:lang w:val="el-GR"/>
              </w:rPr>
            </w:pPr>
          </w:p>
        </w:tc>
        <w:tc>
          <w:tcPr>
            <w:tcW w:w="284" w:type="dxa"/>
            <w:tcBorders>
              <w:top w:val="nil"/>
              <w:left w:val="nil"/>
              <w:bottom w:val="nil"/>
              <w:right w:val="nil"/>
            </w:tcBorders>
            <w:shd w:val="clear" w:color="auto" w:fill="auto"/>
            <w:noWrap/>
            <w:vAlign w:val="bottom"/>
            <w:hideMark/>
          </w:tcPr>
          <w:p w14:paraId="5142E40E" w14:textId="77777777" w:rsidR="00363E89" w:rsidRPr="007A6EC1" w:rsidRDefault="00363E89" w:rsidP="006623D7">
            <w:pPr>
              <w:jc w:val="right"/>
              <w:rPr>
                <w:sz w:val="20"/>
                <w:szCs w:val="20"/>
                <w:lang w:val="el-GR"/>
              </w:rPr>
            </w:pPr>
          </w:p>
        </w:tc>
        <w:tc>
          <w:tcPr>
            <w:tcW w:w="1559" w:type="dxa"/>
            <w:tcBorders>
              <w:top w:val="nil"/>
              <w:left w:val="nil"/>
              <w:bottom w:val="nil"/>
              <w:right w:val="nil"/>
            </w:tcBorders>
            <w:shd w:val="clear" w:color="auto" w:fill="auto"/>
            <w:noWrap/>
            <w:vAlign w:val="bottom"/>
            <w:hideMark/>
          </w:tcPr>
          <w:p w14:paraId="5142E40F" w14:textId="77777777" w:rsidR="00363E89" w:rsidRPr="007A6EC1" w:rsidRDefault="00363E89" w:rsidP="006623D7">
            <w:pPr>
              <w:rPr>
                <w:sz w:val="20"/>
                <w:szCs w:val="20"/>
                <w:lang w:val="el-GR"/>
              </w:rPr>
            </w:pPr>
          </w:p>
        </w:tc>
      </w:tr>
      <w:tr w:rsidR="00363E89" w:rsidRPr="00005C17" w14:paraId="5142E417" w14:textId="77777777" w:rsidTr="006623D7">
        <w:trPr>
          <w:trHeight w:val="285"/>
        </w:trPr>
        <w:tc>
          <w:tcPr>
            <w:tcW w:w="5417" w:type="dxa"/>
            <w:tcBorders>
              <w:top w:val="single" w:sz="4" w:space="0" w:color="4F81BD"/>
              <w:left w:val="nil"/>
              <w:bottom w:val="single" w:sz="4" w:space="0" w:color="4F81BD"/>
              <w:right w:val="nil"/>
            </w:tcBorders>
            <w:shd w:val="clear" w:color="auto" w:fill="auto"/>
            <w:noWrap/>
            <w:vAlign w:val="bottom"/>
            <w:hideMark/>
          </w:tcPr>
          <w:p w14:paraId="5142E411"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Κέρδη μετά από φόρους ανά μετοχή - βασικά (σε  €) </w:t>
            </w:r>
          </w:p>
        </w:tc>
        <w:tc>
          <w:tcPr>
            <w:tcW w:w="679" w:type="dxa"/>
            <w:tcBorders>
              <w:top w:val="single" w:sz="4" w:space="0" w:color="4F81BD"/>
              <w:left w:val="nil"/>
              <w:bottom w:val="single" w:sz="4" w:space="0" w:color="4F81BD"/>
              <w:right w:val="nil"/>
            </w:tcBorders>
            <w:shd w:val="clear" w:color="auto" w:fill="auto"/>
            <w:noWrap/>
            <w:vAlign w:val="bottom"/>
            <w:hideMark/>
          </w:tcPr>
          <w:p w14:paraId="5142E412" w14:textId="77777777" w:rsidR="00363E89" w:rsidRPr="007A6EC1" w:rsidRDefault="00363E89" w:rsidP="006623D7">
            <w:pPr>
              <w:jc w:val="center"/>
              <w:rPr>
                <w:rFonts w:ascii="Calibri" w:hAnsi="Calibri" w:cs="Calibri"/>
                <w:color w:val="000000"/>
                <w:sz w:val="21"/>
                <w:szCs w:val="21"/>
                <w:lang w:val="el-GR"/>
              </w:rPr>
            </w:pPr>
            <w:r w:rsidRPr="007A6EC1">
              <w:rPr>
                <w:rFonts w:ascii="Calibri" w:hAnsi="Calibri" w:cs="Calibri"/>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413" w14:textId="77777777" w:rsidR="00363E89" w:rsidRPr="007A6EC1" w:rsidRDefault="00363E89" w:rsidP="006623D7">
            <w:pPr>
              <w:jc w:val="center"/>
              <w:rPr>
                <w:rFonts w:ascii="Calibri" w:hAnsi="Calibri" w:cs="Calibri"/>
                <w:color w:val="000000"/>
                <w:sz w:val="21"/>
                <w:szCs w:val="21"/>
                <w:lang w:val="el-GR"/>
              </w:rPr>
            </w:pPr>
          </w:p>
        </w:tc>
        <w:tc>
          <w:tcPr>
            <w:tcW w:w="1559" w:type="dxa"/>
            <w:tcBorders>
              <w:top w:val="single" w:sz="4" w:space="0" w:color="4F81BD"/>
              <w:left w:val="nil"/>
              <w:bottom w:val="single" w:sz="4" w:space="0" w:color="4F81BD"/>
              <w:right w:val="nil"/>
            </w:tcBorders>
            <w:shd w:val="clear" w:color="000000" w:fill="F2F2F2"/>
            <w:noWrap/>
            <w:vAlign w:val="bottom"/>
            <w:hideMark/>
          </w:tcPr>
          <w:p w14:paraId="5142E414"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0,7551</w:t>
            </w:r>
          </w:p>
        </w:tc>
        <w:tc>
          <w:tcPr>
            <w:tcW w:w="284" w:type="dxa"/>
            <w:tcBorders>
              <w:top w:val="nil"/>
              <w:left w:val="nil"/>
              <w:bottom w:val="nil"/>
              <w:right w:val="nil"/>
            </w:tcBorders>
            <w:shd w:val="clear" w:color="auto" w:fill="auto"/>
            <w:noWrap/>
            <w:vAlign w:val="bottom"/>
            <w:hideMark/>
          </w:tcPr>
          <w:p w14:paraId="5142E415"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single" w:sz="4" w:space="0" w:color="4F81BD"/>
              <w:left w:val="nil"/>
              <w:bottom w:val="single" w:sz="4" w:space="0" w:color="4F81BD"/>
              <w:right w:val="nil"/>
            </w:tcBorders>
            <w:shd w:val="clear" w:color="000000" w:fill="FFFFFF"/>
            <w:noWrap/>
            <w:vAlign w:val="bottom"/>
            <w:hideMark/>
          </w:tcPr>
          <w:p w14:paraId="5142E416"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0,2897</w:t>
            </w:r>
          </w:p>
        </w:tc>
      </w:tr>
      <w:tr w:rsidR="00363E89" w:rsidRPr="00005C17" w14:paraId="5142E41D" w14:textId="77777777" w:rsidTr="006623D7">
        <w:trPr>
          <w:trHeight w:val="285"/>
        </w:trPr>
        <w:tc>
          <w:tcPr>
            <w:tcW w:w="6096" w:type="dxa"/>
            <w:gridSpan w:val="2"/>
            <w:tcBorders>
              <w:top w:val="single" w:sz="4" w:space="0" w:color="4F81BD"/>
              <w:left w:val="nil"/>
              <w:bottom w:val="single" w:sz="4" w:space="0" w:color="4F81BD"/>
              <w:right w:val="nil"/>
            </w:tcBorders>
            <w:shd w:val="clear" w:color="auto" w:fill="auto"/>
            <w:noWrap/>
            <w:vAlign w:val="bottom"/>
            <w:hideMark/>
          </w:tcPr>
          <w:p w14:paraId="5142E418"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Κέρδη μετά από φόρους ανά μετοχή - προσαρμοσμένα (σε  €) </w:t>
            </w:r>
          </w:p>
        </w:tc>
        <w:tc>
          <w:tcPr>
            <w:tcW w:w="283" w:type="dxa"/>
            <w:tcBorders>
              <w:top w:val="nil"/>
              <w:left w:val="nil"/>
              <w:bottom w:val="nil"/>
              <w:right w:val="nil"/>
            </w:tcBorders>
            <w:shd w:val="clear" w:color="auto" w:fill="auto"/>
            <w:noWrap/>
            <w:vAlign w:val="bottom"/>
            <w:hideMark/>
          </w:tcPr>
          <w:p w14:paraId="5142E419" w14:textId="77777777" w:rsidR="00363E89" w:rsidRPr="007A6EC1" w:rsidRDefault="00363E89" w:rsidP="006623D7">
            <w:pPr>
              <w:rPr>
                <w:rFonts w:ascii="Calibri" w:hAnsi="Calibri" w:cs="Calibri"/>
                <w:b/>
                <w:bCs/>
                <w:color w:val="000000"/>
                <w:sz w:val="21"/>
                <w:szCs w:val="21"/>
                <w:lang w:val="el-GR"/>
              </w:rPr>
            </w:pPr>
          </w:p>
        </w:tc>
        <w:tc>
          <w:tcPr>
            <w:tcW w:w="1559" w:type="dxa"/>
            <w:tcBorders>
              <w:top w:val="nil"/>
              <w:left w:val="nil"/>
              <w:bottom w:val="single" w:sz="4" w:space="0" w:color="4F81BD"/>
              <w:right w:val="nil"/>
            </w:tcBorders>
            <w:shd w:val="clear" w:color="000000" w:fill="F2F2F2"/>
            <w:noWrap/>
            <w:vAlign w:val="bottom"/>
            <w:hideMark/>
          </w:tcPr>
          <w:p w14:paraId="5142E41A"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0,7520</w:t>
            </w:r>
          </w:p>
        </w:tc>
        <w:tc>
          <w:tcPr>
            <w:tcW w:w="284" w:type="dxa"/>
            <w:tcBorders>
              <w:top w:val="nil"/>
              <w:left w:val="nil"/>
              <w:bottom w:val="nil"/>
              <w:right w:val="nil"/>
            </w:tcBorders>
            <w:shd w:val="clear" w:color="auto" w:fill="auto"/>
            <w:noWrap/>
            <w:vAlign w:val="bottom"/>
            <w:hideMark/>
          </w:tcPr>
          <w:p w14:paraId="5142E41B" w14:textId="77777777" w:rsidR="00363E89" w:rsidRPr="007A6EC1" w:rsidRDefault="00363E89" w:rsidP="006623D7">
            <w:pPr>
              <w:jc w:val="right"/>
              <w:rPr>
                <w:rFonts w:ascii="Calibri" w:hAnsi="Calibri" w:cs="Calibri"/>
                <w:b/>
                <w:bCs/>
                <w:color w:val="000000"/>
                <w:sz w:val="21"/>
                <w:szCs w:val="21"/>
                <w:lang w:val="el-GR"/>
              </w:rPr>
            </w:pPr>
          </w:p>
        </w:tc>
        <w:tc>
          <w:tcPr>
            <w:tcW w:w="1559" w:type="dxa"/>
            <w:tcBorders>
              <w:top w:val="nil"/>
              <w:left w:val="nil"/>
              <w:bottom w:val="single" w:sz="4" w:space="0" w:color="4F81BD"/>
              <w:right w:val="nil"/>
            </w:tcBorders>
            <w:shd w:val="clear" w:color="000000" w:fill="FFFFFF"/>
            <w:noWrap/>
            <w:vAlign w:val="bottom"/>
            <w:hideMark/>
          </w:tcPr>
          <w:p w14:paraId="5142E41C" w14:textId="77777777" w:rsidR="00363E89" w:rsidRPr="007A6EC1" w:rsidRDefault="00363E89" w:rsidP="006623D7">
            <w:pPr>
              <w:jc w:val="right"/>
              <w:rPr>
                <w:rFonts w:ascii="Calibri" w:hAnsi="Calibri" w:cs="Calibri"/>
                <w:b/>
                <w:bCs/>
                <w:color w:val="000000"/>
                <w:sz w:val="21"/>
                <w:szCs w:val="21"/>
                <w:lang w:val="el-GR"/>
              </w:rPr>
            </w:pPr>
            <w:r w:rsidRPr="007A6EC1">
              <w:rPr>
                <w:rFonts w:ascii="Calibri" w:hAnsi="Calibri" w:cs="Calibri"/>
                <w:b/>
                <w:bCs/>
                <w:color w:val="000000"/>
                <w:sz w:val="21"/>
                <w:szCs w:val="21"/>
                <w:lang w:val="el-GR"/>
              </w:rPr>
              <w:t>0,2884</w:t>
            </w:r>
          </w:p>
        </w:tc>
      </w:tr>
      <w:tr w:rsidR="00363E89" w:rsidRPr="00005C17" w14:paraId="5142E424" w14:textId="77777777" w:rsidTr="006623D7">
        <w:trPr>
          <w:trHeight w:val="255"/>
        </w:trPr>
        <w:tc>
          <w:tcPr>
            <w:tcW w:w="5417" w:type="dxa"/>
            <w:tcBorders>
              <w:top w:val="nil"/>
              <w:left w:val="nil"/>
              <w:bottom w:val="nil"/>
              <w:right w:val="nil"/>
            </w:tcBorders>
            <w:shd w:val="clear" w:color="auto" w:fill="auto"/>
            <w:noWrap/>
            <w:vAlign w:val="bottom"/>
            <w:hideMark/>
          </w:tcPr>
          <w:p w14:paraId="5142E41E" w14:textId="77777777" w:rsidR="00363E89" w:rsidRPr="007A6EC1" w:rsidRDefault="00363E89" w:rsidP="006623D7">
            <w:pPr>
              <w:jc w:val="right"/>
              <w:rPr>
                <w:rFonts w:ascii="Calibri" w:hAnsi="Calibri" w:cs="Calibri"/>
                <w:b/>
                <w:bCs/>
                <w:color w:val="000000"/>
                <w:sz w:val="21"/>
                <w:szCs w:val="21"/>
                <w:lang w:val="el-GR"/>
              </w:rPr>
            </w:pPr>
          </w:p>
        </w:tc>
        <w:tc>
          <w:tcPr>
            <w:tcW w:w="679" w:type="dxa"/>
            <w:tcBorders>
              <w:top w:val="nil"/>
              <w:left w:val="nil"/>
              <w:bottom w:val="nil"/>
              <w:right w:val="nil"/>
            </w:tcBorders>
            <w:shd w:val="clear" w:color="auto" w:fill="auto"/>
            <w:noWrap/>
            <w:vAlign w:val="bottom"/>
            <w:hideMark/>
          </w:tcPr>
          <w:p w14:paraId="5142E41F"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420"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noWrap/>
            <w:vAlign w:val="bottom"/>
            <w:hideMark/>
          </w:tcPr>
          <w:p w14:paraId="5142E421" w14:textId="77777777" w:rsidR="00363E89" w:rsidRPr="007A6EC1" w:rsidRDefault="00363E89" w:rsidP="006623D7">
            <w:pPr>
              <w:rPr>
                <w:sz w:val="20"/>
                <w:szCs w:val="20"/>
                <w:lang w:val="el-GR"/>
              </w:rPr>
            </w:pPr>
          </w:p>
        </w:tc>
        <w:tc>
          <w:tcPr>
            <w:tcW w:w="284" w:type="dxa"/>
            <w:tcBorders>
              <w:top w:val="nil"/>
              <w:left w:val="nil"/>
              <w:bottom w:val="nil"/>
              <w:right w:val="nil"/>
            </w:tcBorders>
            <w:shd w:val="clear" w:color="auto" w:fill="auto"/>
            <w:noWrap/>
            <w:vAlign w:val="bottom"/>
            <w:hideMark/>
          </w:tcPr>
          <w:p w14:paraId="5142E422"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noWrap/>
            <w:vAlign w:val="bottom"/>
            <w:hideMark/>
          </w:tcPr>
          <w:p w14:paraId="5142E423" w14:textId="77777777" w:rsidR="00363E89" w:rsidRPr="007A6EC1" w:rsidRDefault="00363E89" w:rsidP="006623D7">
            <w:pPr>
              <w:rPr>
                <w:sz w:val="20"/>
                <w:szCs w:val="20"/>
                <w:lang w:val="el-GR"/>
              </w:rPr>
            </w:pPr>
          </w:p>
        </w:tc>
      </w:tr>
      <w:tr w:rsidR="00363E89" w:rsidRPr="00F9367B" w14:paraId="5142E426" w14:textId="77777777" w:rsidTr="006623D7">
        <w:trPr>
          <w:trHeight w:val="780"/>
        </w:trPr>
        <w:tc>
          <w:tcPr>
            <w:tcW w:w="9781" w:type="dxa"/>
            <w:gridSpan w:val="6"/>
            <w:tcBorders>
              <w:top w:val="nil"/>
              <w:left w:val="nil"/>
              <w:bottom w:val="single" w:sz="4" w:space="0" w:color="auto"/>
              <w:right w:val="nil"/>
            </w:tcBorders>
            <w:shd w:val="clear" w:color="auto" w:fill="auto"/>
            <w:noWrap/>
            <w:vAlign w:val="bottom"/>
            <w:hideMark/>
          </w:tcPr>
          <w:p w14:paraId="5142E425" w14:textId="77777777" w:rsidR="00363E89" w:rsidRPr="007A6EC1" w:rsidRDefault="00363E89" w:rsidP="006623D7">
            <w:pPr>
              <w:jc w:val="both"/>
              <w:rPr>
                <w:rFonts w:ascii="Calibri" w:hAnsi="Calibri" w:cs="Calibri"/>
                <w:b/>
                <w:bCs/>
                <w:color w:val="00183D"/>
                <w:sz w:val="28"/>
                <w:szCs w:val="28"/>
                <w:lang w:val="el-GR"/>
              </w:rPr>
            </w:pPr>
            <w:r w:rsidRPr="007A6EC1">
              <w:rPr>
                <w:rFonts w:ascii="Calibri" w:hAnsi="Calibri" w:cs="Calibri"/>
                <w:b/>
                <w:bCs/>
                <w:color w:val="00183D"/>
                <w:sz w:val="28"/>
                <w:szCs w:val="28"/>
                <w:lang w:val="el-GR"/>
              </w:rPr>
              <w:t xml:space="preserve">Κέρδη προ φόρων, χρηματοδοτικών, επενδυτικών αποτελεσμάτων, αποσβέσεων και </w:t>
            </w:r>
            <w:proofErr w:type="spellStart"/>
            <w:r w:rsidRPr="007A6EC1">
              <w:rPr>
                <w:rFonts w:ascii="Calibri" w:hAnsi="Calibri" w:cs="Calibri"/>
                <w:b/>
                <w:bCs/>
                <w:color w:val="00183D"/>
                <w:sz w:val="28"/>
                <w:szCs w:val="28"/>
                <w:lang w:val="el-GR"/>
              </w:rPr>
              <w:t>απομειώσεων</w:t>
            </w:r>
            <w:proofErr w:type="spellEnd"/>
            <w:r w:rsidRPr="007A6EC1">
              <w:rPr>
                <w:rFonts w:ascii="Calibri" w:hAnsi="Calibri" w:cs="Calibri"/>
                <w:b/>
                <w:bCs/>
                <w:color w:val="00183D"/>
                <w:sz w:val="28"/>
                <w:szCs w:val="28"/>
                <w:lang w:val="el-GR"/>
              </w:rPr>
              <w:t xml:space="preserve"> (EBITDA)</w:t>
            </w:r>
          </w:p>
        </w:tc>
      </w:tr>
      <w:tr w:rsidR="00363E89" w:rsidRPr="00F9367B" w14:paraId="5142E42B" w14:textId="77777777" w:rsidTr="006623D7">
        <w:trPr>
          <w:trHeight w:val="285"/>
        </w:trPr>
        <w:tc>
          <w:tcPr>
            <w:tcW w:w="5417" w:type="dxa"/>
            <w:tcBorders>
              <w:top w:val="nil"/>
              <w:left w:val="nil"/>
              <w:bottom w:val="nil"/>
              <w:right w:val="nil"/>
            </w:tcBorders>
            <w:shd w:val="clear" w:color="auto" w:fill="auto"/>
            <w:vAlign w:val="bottom"/>
            <w:hideMark/>
          </w:tcPr>
          <w:p w14:paraId="5142E427" w14:textId="77777777" w:rsidR="00363E89" w:rsidRPr="007A6EC1" w:rsidRDefault="00363E89" w:rsidP="006623D7">
            <w:pPr>
              <w:jc w:val="both"/>
              <w:rPr>
                <w:rFonts w:ascii="Calibri" w:hAnsi="Calibri" w:cs="Calibri"/>
                <w:b/>
                <w:bCs/>
                <w:color w:val="00183D"/>
                <w:sz w:val="28"/>
                <w:szCs w:val="28"/>
                <w:lang w:val="el-GR"/>
              </w:rPr>
            </w:pPr>
          </w:p>
        </w:tc>
        <w:tc>
          <w:tcPr>
            <w:tcW w:w="679" w:type="dxa"/>
            <w:tcBorders>
              <w:top w:val="nil"/>
              <w:left w:val="nil"/>
              <w:bottom w:val="nil"/>
              <w:right w:val="nil"/>
            </w:tcBorders>
            <w:shd w:val="clear" w:color="auto" w:fill="auto"/>
            <w:vAlign w:val="bottom"/>
            <w:hideMark/>
          </w:tcPr>
          <w:p w14:paraId="5142E428"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vAlign w:val="bottom"/>
            <w:hideMark/>
          </w:tcPr>
          <w:p w14:paraId="5142E429" w14:textId="77777777" w:rsidR="00363E89" w:rsidRPr="007A6EC1" w:rsidRDefault="00363E89" w:rsidP="006623D7">
            <w:pPr>
              <w:jc w:val="center"/>
              <w:rPr>
                <w:sz w:val="20"/>
                <w:szCs w:val="20"/>
                <w:lang w:val="el-GR"/>
              </w:rPr>
            </w:pPr>
          </w:p>
        </w:tc>
        <w:tc>
          <w:tcPr>
            <w:tcW w:w="3402" w:type="dxa"/>
            <w:gridSpan w:val="3"/>
            <w:tcBorders>
              <w:top w:val="nil"/>
              <w:left w:val="nil"/>
              <w:bottom w:val="nil"/>
              <w:right w:val="nil"/>
            </w:tcBorders>
            <w:shd w:val="clear" w:color="auto" w:fill="auto"/>
            <w:vAlign w:val="bottom"/>
            <w:hideMark/>
          </w:tcPr>
          <w:p w14:paraId="5142E42A" w14:textId="77777777" w:rsidR="00363E89" w:rsidRPr="007A6EC1" w:rsidRDefault="00363E89" w:rsidP="006623D7">
            <w:pPr>
              <w:jc w:val="center"/>
              <w:rPr>
                <w:sz w:val="20"/>
                <w:szCs w:val="20"/>
                <w:lang w:val="el-GR"/>
              </w:rPr>
            </w:pPr>
          </w:p>
        </w:tc>
      </w:tr>
      <w:tr w:rsidR="00363E89" w:rsidRPr="00F9367B" w14:paraId="5142E430" w14:textId="77777777" w:rsidTr="006623D7">
        <w:trPr>
          <w:trHeight w:val="300"/>
        </w:trPr>
        <w:tc>
          <w:tcPr>
            <w:tcW w:w="5417" w:type="dxa"/>
            <w:tcBorders>
              <w:top w:val="single" w:sz="4" w:space="0" w:color="4F81BD"/>
              <w:left w:val="nil"/>
              <w:bottom w:val="nil"/>
              <w:right w:val="nil"/>
            </w:tcBorders>
            <w:shd w:val="clear" w:color="auto" w:fill="auto"/>
            <w:noWrap/>
            <w:vAlign w:val="bottom"/>
            <w:hideMark/>
          </w:tcPr>
          <w:p w14:paraId="5142E42C" w14:textId="77777777" w:rsidR="00363E89" w:rsidRPr="007A6EC1" w:rsidRDefault="00363E89" w:rsidP="006623D7">
            <w:pPr>
              <w:rPr>
                <w:rFonts w:ascii="Calibri" w:hAnsi="Calibri" w:cs="Calibri"/>
                <w:i/>
                <w:iCs/>
                <w:sz w:val="18"/>
                <w:szCs w:val="18"/>
                <w:lang w:val="el-GR"/>
              </w:rPr>
            </w:pPr>
            <w:r w:rsidRPr="007A6EC1">
              <w:rPr>
                <w:rFonts w:ascii="Calibri" w:hAnsi="Calibri" w:cs="Calibri"/>
                <w:i/>
                <w:iCs/>
                <w:sz w:val="18"/>
                <w:szCs w:val="18"/>
                <w:lang w:val="el-GR"/>
              </w:rPr>
              <w:t>(ποσά σε χιλιάδες €)</w:t>
            </w:r>
          </w:p>
        </w:tc>
        <w:tc>
          <w:tcPr>
            <w:tcW w:w="679" w:type="dxa"/>
            <w:tcBorders>
              <w:top w:val="single" w:sz="4" w:space="0" w:color="4F81BD"/>
              <w:left w:val="nil"/>
              <w:bottom w:val="nil"/>
              <w:right w:val="nil"/>
            </w:tcBorders>
            <w:shd w:val="clear" w:color="auto" w:fill="auto"/>
            <w:noWrap/>
            <w:vAlign w:val="bottom"/>
            <w:hideMark/>
          </w:tcPr>
          <w:p w14:paraId="5142E42D" w14:textId="77777777" w:rsidR="00363E89" w:rsidRPr="007A6EC1" w:rsidRDefault="00363E89" w:rsidP="006623D7">
            <w:pPr>
              <w:rPr>
                <w:rFonts w:ascii="Calibri" w:hAnsi="Calibri" w:cs="Calibri"/>
                <w:i/>
                <w:iCs/>
                <w:sz w:val="22"/>
                <w:szCs w:val="22"/>
                <w:lang w:val="el-GR"/>
              </w:rPr>
            </w:pPr>
            <w:r w:rsidRPr="007A6EC1">
              <w:rPr>
                <w:rFonts w:ascii="Calibri" w:hAnsi="Calibri" w:cs="Calibri"/>
                <w:i/>
                <w:iCs/>
                <w:sz w:val="22"/>
                <w:szCs w:val="22"/>
                <w:lang w:val="el-GR"/>
              </w:rPr>
              <w:t> </w:t>
            </w:r>
          </w:p>
        </w:tc>
        <w:tc>
          <w:tcPr>
            <w:tcW w:w="283" w:type="dxa"/>
            <w:tcBorders>
              <w:top w:val="nil"/>
              <w:left w:val="nil"/>
              <w:bottom w:val="nil"/>
              <w:right w:val="nil"/>
            </w:tcBorders>
            <w:shd w:val="clear" w:color="auto" w:fill="auto"/>
            <w:vAlign w:val="bottom"/>
            <w:hideMark/>
          </w:tcPr>
          <w:p w14:paraId="5142E42E" w14:textId="77777777" w:rsidR="00363E89" w:rsidRPr="007A6EC1" w:rsidRDefault="00363E89" w:rsidP="006623D7">
            <w:pPr>
              <w:rPr>
                <w:rFonts w:ascii="Calibri" w:hAnsi="Calibri" w:cs="Calibri"/>
                <w:i/>
                <w:iCs/>
                <w:sz w:val="22"/>
                <w:szCs w:val="22"/>
                <w:lang w:val="el-GR"/>
              </w:rPr>
            </w:pPr>
          </w:p>
        </w:tc>
        <w:tc>
          <w:tcPr>
            <w:tcW w:w="3402" w:type="dxa"/>
            <w:gridSpan w:val="3"/>
            <w:tcBorders>
              <w:top w:val="single" w:sz="4" w:space="0" w:color="4F81BD"/>
              <w:left w:val="nil"/>
              <w:bottom w:val="nil"/>
              <w:right w:val="nil"/>
            </w:tcBorders>
            <w:shd w:val="clear" w:color="auto" w:fill="auto"/>
            <w:noWrap/>
            <w:vAlign w:val="bottom"/>
            <w:hideMark/>
          </w:tcPr>
          <w:p w14:paraId="5142E42F" w14:textId="77777777" w:rsidR="00363E89" w:rsidRPr="007A6EC1" w:rsidRDefault="00363E89" w:rsidP="006623D7">
            <w:pPr>
              <w:jc w:val="center"/>
              <w:rPr>
                <w:rFonts w:ascii="Calibri" w:hAnsi="Calibri" w:cs="Calibri"/>
                <w:b/>
                <w:bCs/>
                <w:color w:val="000000"/>
                <w:sz w:val="22"/>
                <w:szCs w:val="22"/>
                <w:lang w:val="el-GR"/>
              </w:rPr>
            </w:pPr>
            <w:r w:rsidRPr="007A6EC1">
              <w:rPr>
                <w:rFonts w:ascii="Calibri" w:hAnsi="Calibri" w:cs="Calibri"/>
                <w:b/>
                <w:bCs/>
                <w:color w:val="000000"/>
                <w:sz w:val="22"/>
                <w:szCs w:val="22"/>
                <w:lang w:val="el-GR"/>
              </w:rPr>
              <w:t>Για το εξάμηνο που έληξε την 30/6</w:t>
            </w:r>
          </w:p>
        </w:tc>
      </w:tr>
      <w:tr w:rsidR="00363E89" w:rsidRPr="00005C17" w14:paraId="5142E437" w14:textId="77777777" w:rsidTr="006623D7">
        <w:trPr>
          <w:trHeight w:val="300"/>
        </w:trPr>
        <w:tc>
          <w:tcPr>
            <w:tcW w:w="5417" w:type="dxa"/>
            <w:tcBorders>
              <w:top w:val="nil"/>
              <w:left w:val="nil"/>
              <w:bottom w:val="nil"/>
              <w:right w:val="nil"/>
            </w:tcBorders>
            <w:shd w:val="clear" w:color="auto" w:fill="auto"/>
            <w:noWrap/>
            <w:vAlign w:val="bottom"/>
            <w:hideMark/>
          </w:tcPr>
          <w:p w14:paraId="5142E431" w14:textId="77777777" w:rsidR="00363E89" w:rsidRPr="007A6EC1" w:rsidRDefault="00363E89" w:rsidP="006623D7">
            <w:pPr>
              <w:jc w:val="center"/>
              <w:rPr>
                <w:rFonts w:ascii="Calibri" w:hAnsi="Calibri" w:cs="Calibri"/>
                <w:b/>
                <w:bCs/>
                <w:color w:val="000000"/>
                <w:sz w:val="22"/>
                <w:szCs w:val="22"/>
                <w:lang w:val="el-GR"/>
              </w:rPr>
            </w:pPr>
          </w:p>
        </w:tc>
        <w:tc>
          <w:tcPr>
            <w:tcW w:w="679" w:type="dxa"/>
            <w:tcBorders>
              <w:top w:val="nil"/>
              <w:left w:val="nil"/>
              <w:bottom w:val="nil"/>
              <w:right w:val="nil"/>
            </w:tcBorders>
            <w:shd w:val="clear" w:color="auto" w:fill="auto"/>
            <w:noWrap/>
            <w:vAlign w:val="bottom"/>
            <w:hideMark/>
          </w:tcPr>
          <w:p w14:paraId="5142E432"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433" w14:textId="77777777" w:rsidR="00363E89" w:rsidRPr="007A6EC1" w:rsidRDefault="00363E89" w:rsidP="006623D7">
            <w:pPr>
              <w:jc w:val="center"/>
              <w:rPr>
                <w:sz w:val="20"/>
                <w:szCs w:val="20"/>
                <w:lang w:val="el-GR"/>
              </w:rPr>
            </w:pPr>
          </w:p>
        </w:tc>
        <w:tc>
          <w:tcPr>
            <w:tcW w:w="1559" w:type="dxa"/>
            <w:tcBorders>
              <w:top w:val="single" w:sz="4" w:space="0" w:color="4F81BD"/>
              <w:left w:val="nil"/>
              <w:bottom w:val="single" w:sz="4" w:space="0" w:color="auto"/>
              <w:right w:val="nil"/>
            </w:tcBorders>
            <w:shd w:val="clear" w:color="000000" w:fill="F2F2F2"/>
            <w:noWrap/>
            <w:vAlign w:val="bottom"/>
            <w:hideMark/>
          </w:tcPr>
          <w:p w14:paraId="5142E434" w14:textId="77777777" w:rsidR="00363E89" w:rsidRPr="007A6EC1" w:rsidRDefault="00363E89" w:rsidP="006623D7">
            <w:pPr>
              <w:jc w:val="right"/>
              <w:rPr>
                <w:rFonts w:ascii="Calibri" w:hAnsi="Calibri" w:cs="Calibri"/>
                <w:b/>
                <w:bCs/>
                <w:color w:val="000000"/>
                <w:sz w:val="22"/>
                <w:szCs w:val="22"/>
                <w:lang w:val="el-GR"/>
              </w:rPr>
            </w:pPr>
            <w:r w:rsidRPr="007A6EC1">
              <w:rPr>
                <w:rFonts w:ascii="Calibri" w:hAnsi="Calibri" w:cs="Calibri"/>
                <w:b/>
                <w:bCs/>
                <w:color w:val="000000"/>
                <w:sz w:val="22"/>
                <w:szCs w:val="22"/>
                <w:lang w:val="el-GR"/>
              </w:rPr>
              <w:t>2021</w:t>
            </w:r>
          </w:p>
        </w:tc>
        <w:tc>
          <w:tcPr>
            <w:tcW w:w="284" w:type="dxa"/>
            <w:tcBorders>
              <w:top w:val="nil"/>
              <w:left w:val="nil"/>
              <w:bottom w:val="nil"/>
              <w:right w:val="nil"/>
            </w:tcBorders>
            <w:shd w:val="clear" w:color="auto" w:fill="auto"/>
            <w:vAlign w:val="bottom"/>
            <w:hideMark/>
          </w:tcPr>
          <w:p w14:paraId="5142E435" w14:textId="77777777" w:rsidR="00363E89" w:rsidRPr="007A6EC1" w:rsidRDefault="00363E89" w:rsidP="006623D7">
            <w:pPr>
              <w:jc w:val="right"/>
              <w:rPr>
                <w:rFonts w:ascii="Calibri" w:hAnsi="Calibri" w:cs="Calibri"/>
                <w:b/>
                <w:bCs/>
                <w:color w:val="000000"/>
                <w:sz w:val="22"/>
                <w:szCs w:val="22"/>
                <w:lang w:val="el-GR"/>
              </w:rPr>
            </w:pPr>
          </w:p>
        </w:tc>
        <w:tc>
          <w:tcPr>
            <w:tcW w:w="1559" w:type="dxa"/>
            <w:tcBorders>
              <w:top w:val="single" w:sz="4" w:space="0" w:color="4F81BD"/>
              <w:left w:val="nil"/>
              <w:bottom w:val="single" w:sz="4" w:space="0" w:color="auto"/>
              <w:right w:val="nil"/>
            </w:tcBorders>
            <w:shd w:val="clear" w:color="auto" w:fill="auto"/>
            <w:noWrap/>
            <w:vAlign w:val="bottom"/>
            <w:hideMark/>
          </w:tcPr>
          <w:p w14:paraId="5142E436" w14:textId="77777777" w:rsidR="00363E89" w:rsidRPr="007A6EC1" w:rsidRDefault="00363E89" w:rsidP="006623D7">
            <w:pPr>
              <w:jc w:val="right"/>
              <w:rPr>
                <w:rFonts w:ascii="Calibri" w:hAnsi="Calibri" w:cs="Calibri"/>
                <w:b/>
                <w:bCs/>
                <w:color w:val="000000"/>
                <w:sz w:val="22"/>
                <w:szCs w:val="22"/>
                <w:lang w:val="el-GR"/>
              </w:rPr>
            </w:pPr>
            <w:r w:rsidRPr="007A6EC1">
              <w:rPr>
                <w:rFonts w:ascii="Calibri" w:hAnsi="Calibri" w:cs="Calibri"/>
                <w:b/>
                <w:bCs/>
                <w:color w:val="000000"/>
                <w:sz w:val="22"/>
                <w:szCs w:val="22"/>
                <w:lang w:val="el-GR"/>
              </w:rPr>
              <w:t>2020</w:t>
            </w:r>
          </w:p>
        </w:tc>
      </w:tr>
      <w:tr w:rsidR="00363E89" w:rsidRPr="00005C17" w14:paraId="5142E43E" w14:textId="77777777" w:rsidTr="006623D7">
        <w:trPr>
          <w:trHeight w:val="285"/>
        </w:trPr>
        <w:tc>
          <w:tcPr>
            <w:tcW w:w="5417" w:type="dxa"/>
            <w:tcBorders>
              <w:top w:val="nil"/>
              <w:left w:val="nil"/>
              <w:bottom w:val="nil"/>
              <w:right w:val="nil"/>
            </w:tcBorders>
            <w:shd w:val="clear" w:color="auto" w:fill="auto"/>
            <w:vAlign w:val="bottom"/>
            <w:hideMark/>
          </w:tcPr>
          <w:p w14:paraId="5142E438" w14:textId="77777777" w:rsidR="00363E89" w:rsidRPr="007A6EC1" w:rsidRDefault="00363E89" w:rsidP="006623D7">
            <w:pPr>
              <w:jc w:val="right"/>
              <w:rPr>
                <w:rFonts w:ascii="Calibri" w:hAnsi="Calibri" w:cs="Calibri"/>
                <w:b/>
                <w:bCs/>
                <w:color w:val="000000"/>
                <w:sz w:val="22"/>
                <w:szCs w:val="22"/>
                <w:lang w:val="el-GR"/>
              </w:rPr>
            </w:pPr>
          </w:p>
        </w:tc>
        <w:tc>
          <w:tcPr>
            <w:tcW w:w="679" w:type="dxa"/>
            <w:tcBorders>
              <w:top w:val="nil"/>
              <w:left w:val="nil"/>
              <w:bottom w:val="nil"/>
              <w:right w:val="nil"/>
            </w:tcBorders>
            <w:shd w:val="clear" w:color="auto" w:fill="auto"/>
            <w:noWrap/>
            <w:vAlign w:val="bottom"/>
            <w:hideMark/>
          </w:tcPr>
          <w:p w14:paraId="5142E439"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noWrap/>
            <w:vAlign w:val="bottom"/>
            <w:hideMark/>
          </w:tcPr>
          <w:p w14:paraId="5142E43A" w14:textId="77777777" w:rsidR="00363E89" w:rsidRPr="007A6EC1" w:rsidRDefault="00363E89" w:rsidP="006623D7">
            <w:pPr>
              <w:jc w:val="center"/>
              <w:rPr>
                <w:sz w:val="20"/>
                <w:szCs w:val="20"/>
                <w:lang w:val="el-GR"/>
              </w:rPr>
            </w:pPr>
          </w:p>
        </w:tc>
        <w:tc>
          <w:tcPr>
            <w:tcW w:w="1559" w:type="dxa"/>
            <w:tcBorders>
              <w:top w:val="nil"/>
              <w:left w:val="nil"/>
              <w:bottom w:val="nil"/>
              <w:right w:val="nil"/>
            </w:tcBorders>
            <w:shd w:val="clear" w:color="auto" w:fill="auto"/>
            <w:vAlign w:val="bottom"/>
            <w:hideMark/>
          </w:tcPr>
          <w:p w14:paraId="5142E43B" w14:textId="77777777" w:rsidR="00363E89" w:rsidRPr="007A6EC1" w:rsidRDefault="00363E89" w:rsidP="006623D7">
            <w:pPr>
              <w:jc w:val="center"/>
              <w:rPr>
                <w:sz w:val="20"/>
                <w:szCs w:val="20"/>
                <w:lang w:val="el-GR"/>
              </w:rPr>
            </w:pPr>
          </w:p>
        </w:tc>
        <w:tc>
          <w:tcPr>
            <w:tcW w:w="284" w:type="dxa"/>
            <w:tcBorders>
              <w:top w:val="nil"/>
              <w:left w:val="nil"/>
              <w:bottom w:val="nil"/>
              <w:right w:val="nil"/>
            </w:tcBorders>
            <w:shd w:val="clear" w:color="auto" w:fill="auto"/>
            <w:vAlign w:val="bottom"/>
            <w:hideMark/>
          </w:tcPr>
          <w:p w14:paraId="5142E43C" w14:textId="77777777" w:rsidR="00363E89" w:rsidRPr="007A6EC1" w:rsidRDefault="00363E89" w:rsidP="006623D7">
            <w:pPr>
              <w:rPr>
                <w:sz w:val="20"/>
                <w:szCs w:val="20"/>
                <w:lang w:val="el-GR"/>
              </w:rPr>
            </w:pPr>
          </w:p>
        </w:tc>
        <w:tc>
          <w:tcPr>
            <w:tcW w:w="1559" w:type="dxa"/>
            <w:tcBorders>
              <w:top w:val="nil"/>
              <w:left w:val="nil"/>
              <w:bottom w:val="nil"/>
              <w:right w:val="nil"/>
            </w:tcBorders>
            <w:shd w:val="clear" w:color="auto" w:fill="auto"/>
            <w:vAlign w:val="bottom"/>
            <w:hideMark/>
          </w:tcPr>
          <w:p w14:paraId="5142E43D" w14:textId="77777777" w:rsidR="00363E89" w:rsidRPr="007A6EC1" w:rsidRDefault="00363E89" w:rsidP="006623D7">
            <w:pPr>
              <w:rPr>
                <w:sz w:val="20"/>
                <w:szCs w:val="20"/>
                <w:lang w:val="el-GR"/>
              </w:rPr>
            </w:pPr>
          </w:p>
        </w:tc>
      </w:tr>
      <w:tr w:rsidR="00363E89" w:rsidRPr="00005C17" w14:paraId="5142E445" w14:textId="77777777" w:rsidTr="006623D7">
        <w:trPr>
          <w:trHeight w:val="285"/>
        </w:trPr>
        <w:tc>
          <w:tcPr>
            <w:tcW w:w="5417" w:type="dxa"/>
            <w:tcBorders>
              <w:top w:val="single" w:sz="4" w:space="0" w:color="000000"/>
              <w:left w:val="nil"/>
              <w:bottom w:val="single" w:sz="4" w:space="0" w:color="000000"/>
              <w:right w:val="nil"/>
            </w:tcBorders>
            <w:shd w:val="clear" w:color="auto" w:fill="auto"/>
            <w:noWrap/>
            <w:vAlign w:val="bottom"/>
            <w:hideMark/>
          </w:tcPr>
          <w:p w14:paraId="5142E43F"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Λειτουργικά κέρδη </w:t>
            </w:r>
          </w:p>
        </w:tc>
        <w:tc>
          <w:tcPr>
            <w:tcW w:w="679" w:type="dxa"/>
            <w:tcBorders>
              <w:top w:val="single" w:sz="4" w:space="0" w:color="000000"/>
              <w:left w:val="nil"/>
              <w:bottom w:val="single" w:sz="4" w:space="0" w:color="000000"/>
              <w:right w:val="nil"/>
            </w:tcBorders>
            <w:shd w:val="clear" w:color="auto" w:fill="auto"/>
            <w:noWrap/>
            <w:vAlign w:val="bottom"/>
            <w:hideMark/>
          </w:tcPr>
          <w:p w14:paraId="5142E440"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441"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000000"/>
              <w:left w:val="nil"/>
              <w:bottom w:val="single" w:sz="4" w:space="0" w:color="000000"/>
              <w:right w:val="nil"/>
            </w:tcBorders>
            <w:shd w:val="clear" w:color="000000" w:fill="F2F2F2"/>
            <w:noWrap/>
            <w:vAlign w:val="bottom"/>
            <w:hideMark/>
          </w:tcPr>
          <w:p w14:paraId="5142E44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76.992</w:t>
            </w:r>
          </w:p>
        </w:tc>
        <w:tc>
          <w:tcPr>
            <w:tcW w:w="284" w:type="dxa"/>
            <w:tcBorders>
              <w:top w:val="nil"/>
              <w:left w:val="nil"/>
              <w:bottom w:val="nil"/>
              <w:right w:val="nil"/>
            </w:tcBorders>
            <w:shd w:val="clear" w:color="auto" w:fill="auto"/>
            <w:noWrap/>
            <w:vAlign w:val="bottom"/>
            <w:hideMark/>
          </w:tcPr>
          <w:p w14:paraId="5142E443" w14:textId="77777777" w:rsidR="00363E89" w:rsidRPr="007A6EC1" w:rsidRDefault="00363E89" w:rsidP="006623D7">
            <w:pPr>
              <w:jc w:val="right"/>
              <w:rPr>
                <w:rFonts w:ascii="Calibri" w:hAnsi="Calibri" w:cs="Calibri"/>
                <w:b/>
                <w:bCs/>
                <w:sz w:val="21"/>
                <w:szCs w:val="21"/>
                <w:lang w:val="el-GR"/>
              </w:rPr>
            </w:pPr>
          </w:p>
        </w:tc>
        <w:tc>
          <w:tcPr>
            <w:tcW w:w="1559" w:type="dxa"/>
            <w:tcBorders>
              <w:top w:val="single" w:sz="4" w:space="0" w:color="000000"/>
              <w:left w:val="nil"/>
              <w:bottom w:val="single" w:sz="4" w:space="0" w:color="000000"/>
              <w:right w:val="nil"/>
            </w:tcBorders>
            <w:shd w:val="clear" w:color="auto" w:fill="auto"/>
            <w:noWrap/>
            <w:vAlign w:val="bottom"/>
            <w:hideMark/>
          </w:tcPr>
          <w:p w14:paraId="5142E44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66.344</w:t>
            </w:r>
          </w:p>
        </w:tc>
      </w:tr>
      <w:tr w:rsidR="00363E89" w:rsidRPr="00005C17" w14:paraId="5142E44B" w14:textId="77777777" w:rsidTr="006623D7">
        <w:trPr>
          <w:trHeight w:val="315"/>
        </w:trPr>
        <w:tc>
          <w:tcPr>
            <w:tcW w:w="6096" w:type="dxa"/>
            <w:gridSpan w:val="2"/>
            <w:tcBorders>
              <w:top w:val="single" w:sz="4" w:space="0" w:color="000000"/>
              <w:left w:val="nil"/>
              <w:bottom w:val="single" w:sz="4" w:space="0" w:color="000000"/>
              <w:right w:val="nil"/>
            </w:tcBorders>
            <w:shd w:val="clear" w:color="auto" w:fill="auto"/>
            <w:noWrap/>
            <w:vAlign w:val="bottom"/>
            <w:hideMark/>
          </w:tcPr>
          <w:p w14:paraId="5142E446" w14:textId="77777777" w:rsidR="00363E89" w:rsidRPr="007A6EC1" w:rsidRDefault="00363E89" w:rsidP="006623D7">
            <w:pPr>
              <w:rPr>
                <w:rFonts w:ascii="Calibri" w:hAnsi="Calibri" w:cs="Calibri"/>
                <w:color w:val="000000"/>
                <w:sz w:val="21"/>
                <w:szCs w:val="21"/>
                <w:lang w:val="el-GR"/>
              </w:rPr>
            </w:pPr>
            <w:r w:rsidRPr="007A6EC1">
              <w:rPr>
                <w:rFonts w:ascii="Calibri" w:hAnsi="Calibri" w:cs="Calibri"/>
                <w:color w:val="000000"/>
                <w:sz w:val="21"/>
                <w:szCs w:val="21"/>
                <w:lang w:val="el-GR"/>
              </w:rPr>
              <w:t xml:space="preserve">Αποσβέσεις ενσώματων και ασώματων ακινητοποιήσεων </w:t>
            </w:r>
          </w:p>
        </w:tc>
        <w:tc>
          <w:tcPr>
            <w:tcW w:w="283" w:type="dxa"/>
            <w:tcBorders>
              <w:top w:val="nil"/>
              <w:left w:val="nil"/>
              <w:bottom w:val="nil"/>
              <w:right w:val="nil"/>
            </w:tcBorders>
            <w:shd w:val="clear" w:color="auto" w:fill="auto"/>
            <w:noWrap/>
            <w:vAlign w:val="bottom"/>
            <w:hideMark/>
          </w:tcPr>
          <w:p w14:paraId="5142E447" w14:textId="77777777" w:rsidR="00363E89" w:rsidRPr="007A6EC1" w:rsidRDefault="00363E89" w:rsidP="006623D7">
            <w:pPr>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000000" w:fill="F2F2F2"/>
            <w:noWrap/>
            <w:vAlign w:val="bottom"/>
            <w:hideMark/>
          </w:tcPr>
          <w:p w14:paraId="5142E448"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65.599</w:t>
            </w:r>
          </w:p>
        </w:tc>
        <w:tc>
          <w:tcPr>
            <w:tcW w:w="284" w:type="dxa"/>
            <w:tcBorders>
              <w:top w:val="nil"/>
              <w:left w:val="nil"/>
              <w:bottom w:val="nil"/>
              <w:right w:val="nil"/>
            </w:tcBorders>
            <w:shd w:val="clear" w:color="auto" w:fill="auto"/>
            <w:noWrap/>
            <w:vAlign w:val="bottom"/>
            <w:hideMark/>
          </w:tcPr>
          <w:p w14:paraId="5142E449" w14:textId="77777777" w:rsidR="00363E89" w:rsidRPr="007A6EC1" w:rsidRDefault="00363E89" w:rsidP="006623D7">
            <w:pPr>
              <w:jc w:val="right"/>
              <w:rPr>
                <w:rFonts w:ascii="Calibri" w:hAnsi="Calibri" w:cs="Calibri"/>
                <w:color w:val="000000"/>
                <w:sz w:val="21"/>
                <w:szCs w:val="21"/>
                <w:lang w:val="el-GR"/>
              </w:rPr>
            </w:pPr>
          </w:p>
        </w:tc>
        <w:tc>
          <w:tcPr>
            <w:tcW w:w="1559" w:type="dxa"/>
            <w:tcBorders>
              <w:top w:val="nil"/>
              <w:left w:val="nil"/>
              <w:bottom w:val="single" w:sz="4" w:space="0" w:color="000000"/>
              <w:right w:val="nil"/>
            </w:tcBorders>
            <w:shd w:val="clear" w:color="auto" w:fill="auto"/>
            <w:noWrap/>
            <w:vAlign w:val="bottom"/>
            <w:hideMark/>
          </w:tcPr>
          <w:p w14:paraId="5142E44A" w14:textId="77777777" w:rsidR="00363E89" w:rsidRPr="007A6EC1" w:rsidRDefault="00363E89" w:rsidP="006623D7">
            <w:pPr>
              <w:jc w:val="right"/>
              <w:rPr>
                <w:rFonts w:ascii="Calibri" w:hAnsi="Calibri" w:cs="Calibri"/>
                <w:color w:val="000000"/>
                <w:sz w:val="21"/>
                <w:szCs w:val="21"/>
                <w:lang w:val="el-GR"/>
              </w:rPr>
            </w:pPr>
            <w:r w:rsidRPr="007A6EC1">
              <w:rPr>
                <w:rFonts w:ascii="Calibri" w:hAnsi="Calibri" w:cs="Calibri"/>
                <w:color w:val="000000"/>
                <w:sz w:val="21"/>
                <w:szCs w:val="21"/>
                <w:lang w:val="el-GR"/>
              </w:rPr>
              <w:t>70.448</w:t>
            </w:r>
          </w:p>
        </w:tc>
      </w:tr>
      <w:tr w:rsidR="00363E89" w:rsidRPr="00005C17" w14:paraId="5142E452" w14:textId="77777777" w:rsidTr="006623D7">
        <w:trPr>
          <w:trHeight w:val="555"/>
        </w:trPr>
        <w:tc>
          <w:tcPr>
            <w:tcW w:w="5417" w:type="dxa"/>
            <w:tcBorders>
              <w:top w:val="single" w:sz="4" w:space="0" w:color="4F81BD"/>
              <w:left w:val="nil"/>
              <w:bottom w:val="single" w:sz="4" w:space="0" w:color="4F81BD"/>
              <w:right w:val="nil"/>
            </w:tcBorders>
            <w:shd w:val="clear" w:color="auto" w:fill="auto"/>
            <w:vAlign w:val="bottom"/>
            <w:hideMark/>
          </w:tcPr>
          <w:p w14:paraId="5142E44C" w14:textId="77777777" w:rsidR="00363E89" w:rsidRPr="007A6EC1" w:rsidRDefault="00363E89" w:rsidP="006623D7">
            <w:pPr>
              <w:rPr>
                <w:rFonts w:ascii="Calibri" w:hAnsi="Calibri" w:cs="Calibri"/>
                <w:b/>
                <w:bCs/>
                <w:color w:val="000000"/>
                <w:sz w:val="21"/>
                <w:szCs w:val="21"/>
                <w:lang w:val="el-GR"/>
              </w:rPr>
            </w:pPr>
            <w:r w:rsidRPr="007A6EC1">
              <w:rPr>
                <w:rFonts w:ascii="Calibri" w:hAnsi="Calibri" w:cs="Calibri"/>
                <w:b/>
                <w:bCs/>
                <w:color w:val="000000"/>
                <w:sz w:val="21"/>
                <w:szCs w:val="21"/>
                <w:lang w:val="el-GR"/>
              </w:rPr>
              <w:t xml:space="preserve">Κέρδη προ φόρων, χρηματοδοτικών, επενδυτικών αποτελεσμάτων, αποσβέσεων και </w:t>
            </w:r>
            <w:proofErr w:type="spellStart"/>
            <w:r w:rsidRPr="007A6EC1">
              <w:rPr>
                <w:rFonts w:ascii="Calibri" w:hAnsi="Calibri" w:cs="Calibri"/>
                <w:b/>
                <w:bCs/>
                <w:color w:val="000000"/>
                <w:sz w:val="21"/>
                <w:szCs w:val="21"/>
                <w:lang w:val="el-GR"/>
              </w:rPr>
              <w:t>απομειώσεων</w:t>
            </w:r>
            <w:proofErr w:type="spellEnd"/>
            <w:r w:rsidRPr="007A6EC1">
              <w:rPr>
                <w:rFonts w:ascii="Calibri" w:hAnsi="Calibri" w:cs="Calibri"/>
                <w:b/>
                <w:bCs/>
                <w:color w:val="000000"/>
                <w:sz w:val="21"/>
                <w:szCs w:val="21"/>
                <w:lang w:val="el-GR"/>
              </w:rPr>
              <w:t xml:space="preserve"> (EBITDA)</w:t>
            </w:r>
          </w:p>
        </w:tc>
        <w:tc>
          <w:tcPr>
            <w:tcW w:w="679" w:type="dxa"/>
            <w:tcBorders>
              <w:top w:val="single" w:sz="4" w:space="0" w:color="4F81BD"/>
              <w:left w:val="nil"/>
              <w:bottom w:val="single" w:sz="4" w:space="0" w:color="4F81BD"/>
              <w:right w:val="nil"/>
            </w:tcBorders>
            <w:shd w:val="clear" w:color="auto" w:fill="auto"/>
            <w:vAlign w:val="bottom"/>
            <w:hideMark/>
          </w:tcPr>
          <w:p w14:paraId="5142E44D" w14:textId="77777777" w:rsidR="00363E89" w:rsidRPr="007A6EC1" w:rsidRDefault="00363E89" w:rsidP="006623D7">
            <w:pPr>
              <w:jc w:val="center"/>
              <w:rPr>
                <w:rFonts w:ascii="Calibri" w:hAnsi="Calibri" w:cs="Calibri"/>
                <w:b/>
                <w:bCs/>
                <w:color w:val="000000"/>
                <w:sz w:val="21"/>
                <w:szCs w:val="21"/>
                <w:lang w:val="el-GR"/>
              </w:rPr>
            </w:pPr>
            <w:r w:rsidRPr="007A6EC1">
              <w:rPr>
                <w:rFonts w:ascii="Calibri" w:hAnsi="Calibri" w:cs="Calibri"/>
                <w:b/>
                <w:bCs/>
                <w:color w:val="000000"/>
                <w:sz w:val="21"/>
                <w:szCs w:val="21"/>
                <w:lang w:val="el-GR"/>
              </w:rPr>
              <w:t> </w:t>
            </w:r>
          </w:p>
        </w:tc>
        <w:tc>
          <w:tcPr>
            <w:tcW w:w="283" w:type="dxa"/>
            <w:tcBorders>
              <w:top w:val="nil"/>
              <w:left w:val="nil"/>
              <w:bottom w:val="nil"/>
              <w:right w:val="nil"/>
            </w:tcBorders>
            <w:shd w:val="clear" w:color="auto" w:fill="auto"/>
            <w:noWrap/>
            <w:vAlign w:val="bottom"/>
            <w:hideMark/>
          </w:tcPr>
          <w:p w14:paraId="5142E44E" w14:textId="77777777" w:rsidR="00363E89" w:rsidRPr="007A6EC1" w:rsidRDefault="00363E89" w:rsidP="006623D7">
            <w:pPr>
              <w:jc w:val="center"/>
              <w:rPr>
                <w:rFonts w:ascii="Calibri" w:hAnsi="Calibri" w:cs="Calibri"/>
                <w:b/>
                <w:bCs/>
                <w:color w:val="000000"/>
                <w:sz w:val="21"/>
                <w:szCs w:val="21"/>
                <w:lang w:val="el-GR"/>
              </w:rPr>
            </w:pPr>
          </w:p>
        </w:tc>
        <w:tc>
          <w:tcPr>
            <w:tcW w:w="1559" w:type="dxa"/>
            <w:tcBorders>
              <w:top w:val="single" w:sz="4" w:space="0" w:color="4F81BD"/>
              <w:left w:val="nil"/>
              <w:bottom w:val="single" w:sz="4" w:space="0" w:color="4F81BD"/>
              <w:right w:val="nil"/>
            </w:tcBorders>
            <w:shd w:val="clear" w:color="000000" w:fill="F2F2F2"/>
            <w:noWrap/>
            <w:vAlign w:val="bottom"/>
            <w:hideMark/>
          </w:tcPr>
          <w:p w14:paraId="5142E44F"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142.591</w:t>
            </w:r>
          </w:p>
        </w:tc>
        <w:tc>
          <w:tcPr>
            <w:tcW w:w="284" w:type="dxa"/>
            <w:tcBorders>
              <w:top w:val="nil"/>
              <w:left w:val="nil"/>
              <w:bottom w:val="nil"/>
              <w:right w:val="nil"/>
            </w:tcBorders>
            <w:shd w:val="clear" w:color="auto" w:fill="auto"/>
            <w:noWrap/>
            <w:vAlign w:val="bottom"/>
            <w:hideMark/>
          </w:tcPr>
          <w:p w14:paraId="5142E450" w14:textId="77777777" w:rsidR="00363E89" w:rsidRPr="007A6EC1" w:rsidRDefault="00363E89" w:rsidP="006623D7">
            <w:pPr>
              <w:jc w:val="right"/>
              <w:rPr>
                <w:rFonts w:ascii="Calibri" w:hAnsi="Calibri" w:cs="Calibri"/>
                <w:b/>
                <w:bCs/>
                <w:sz w:val="21"/>
                <w:szCs w:val="21"/>
                <w:lang w:val="el-GR"/>
              </w:rPr>
            </w:pPr>
          </w:p>
        </w:tc>
        <w:tc>
          <w:tcPr>
            <w:tcW w:w="1559" w:type="dxa"/>
            <w:tcBorders>
              <w:top w:val="single" w:sz="4" w:space="0" w:color="4F81BD"/>
              <w:left w:val="nil"/>
              <w:bottom w:val="single" w:sz="4" w:space="0" w:color="4F81BD"/>
              <w:right w:val="nil"/>
            </w:tcBorders>
            <w:shd w:val="clear" w:color="auto" w:fill="auto"/>
            <w:noWrap/>
            <w:vAlign w:val="bottom"/>
            <w:hideMark/>
          </w:tcPr>
          <w:p w14:paraId="5142E451"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136.792</w:t>
            </w:r>
          </w:p>
        </w:tc>
      </w:tr>
    </w:tbl>
    <w:p w14:paraId="5142E453" w14:textId="77777777" w:rsidR="00363E89" w:rsidRPr="00005C17" w:rsidRDefault="00363E89" w:rsidP="00363E89">
      <w:pPr>
        <w:spacing w:after="200" w:line="276" w:lineRule="auto"/>
        <w:rPr>
          <w:rFonts w:ascii="Calibri" w:eastAsia="Calibri" w:hAnsi="Calibri" w:cs="Calibri"/>
          <w:color w:val="00183D"/>
          <w:sz w:val="21"/>
          <w:szCs w:val="21"/>
          <w:lang w:val="el-GR"/>
        </w:rPr>
      </w:pPr>
      <w:r w:rsidRPr="00005C17">
        <w:rPr>
          <w:rFonts w:ascii="Calibri" w:eastAsia="Calibri" w:hAnsi="Calibri" w:cs="Calibri"/>
          <w:color w:val="00183D"/>
          <w:sz w:val="21"/>
          <w:szCs w:val="21"/>
          <w:lang w:val="el-GR"/>
        </w:rPr>
        <w:br w:type="page"/>
      </w:r>
    </w:p>
    <w:tbl>
      <w:tblPr>
        <w:tblW w:w="10065" w:type="dxa"/>
        <w:tblLook w:val="04A0" w:firstRow="1" w:lastRow="0" w:firstColumn="1" w:lastColumn="0" w:noHBand="0" w:noVBand="1"/>
      </w:tblPr>
      <w:tblGrid>
        <w:gridCol w:w="6521"/>
        <w:gridCol w:w="283"/>
        <w:gridCol w:w="1560"/>
        <w:gridCol w:w="283"/>
        <w:gridCol w:w="1418"/>
      </w:tblGrid>
      <w:tr w:rsidR="00363E89" w:rsidRPr="00F9367B" w14:paraId="5142E455" w14:textId="77777777" w:rsidTr="006623D7">
        <w:trPr>
          <w:trHeight w:val="363"/>
        </w:trPr>
        <w:tc>
          <w:tcPr>
            <w:tcW w:w="10065" w:type="dxa"/>
            <w:gridSpan w:val="5"/>
            <w:tcBorders>
              <w:top w:val="nil"/>
              <w:left w:val="nil"/>
              <w:bottom w:val="single" w:sz="4" w:space="0" w:color="auto"/>
              <w:right w:val="nil"/>
            </w:tcBorders>
            <w:shd w:val="clear" w:color="auto" w:fill="auto"/>
            <w:noWrap/>
            <w:vAlign w:val="bottom"/>
            <w:hideMark/>
          </w:tcPr>
          <w:p w14:paraId="5142E454" w14:textId="77777777" w:rsidR="00363E89" w:rsidRPr="007A6EC1" w:rsidRDefault="00363E89" w:rsidP="006623D7">
            <w:pPr>
              <w:rPr>
                <w:rFonts w:ascii="Calibri" w:hAnsi="Calibri" w:cs="Calibri"/>
                <w:b/>
                <w:bCs/>
                <w:color w:val="00183D"/>
                <w:sz w:val="28"/>
                <w:szCs w:val="28"/>
                <w:lang w:val="el-GR"/>
              </w:rPr>
            </w:pPr>
            <w:bookmarkStart w:id="0" w:name="RANGE!A1:E38"/>
            <w:r w:rsidRPr="007A6EC1">
              <w:rPr>
                <w:rFonts w:ascii="Calibri" w:hAnsi="Calibri" w:cs="Calibri"/>
                <w:b/>
                <w:bCs/>
                <w:color w:val="00183D"/>
                <w:sz w:val="28"/>
                <w:szCs w:val="28"/>
                <w:lang w:val="el-GR"/>
              </w:rPr>
              <w:lastRenderedPageBreak/>
              <w:t xml:space="preserve">Σύνοψη Ενδιάμεσης Ενοποιημένης Κατάστασης Χρηματοοικονομικής Θέσης </w:t>
            </w:r>
            <w:bookmarkEnd w:id="0"/>
          </w:p>
        </w:tc>
      </w:tr>
      <w:tr w:rsidR="00363E89" w:rsidRPr="00F9367B" w14:paraId="5142E45B" w14:textId="77777777" w:rsidTr="006623D7">
        <w:trPr>
          <w:trHeight w:val="217"/>
        </w:trPr>
        <w:tc>
          <w:tcPr>
            <w:tcW w:w="6521" w:type="dxa"/>
            <w:tcBorders>
              <w:top w:val="nil"/>
              <w:left w:val="nil"/>
              <w:bottom w:val="nil"/>
              <w:right w:val="nil"/>
            </w:tcBorders>
            <w:shd w:val="clear" w:color="auto" w:fill="auto"/>
            <w:hideMark/>
          </w:tcPr>
          <w:p w14:paraId="5142E456" w14:textId="77777777" w:rsidR="00363E89" w:rsidRPr="007A6EC1" w:rsidRDefault="00363E89" w:rsidP="006623D7">
            <w:pPr>
              <w:rPr>
                <w:rFonts w:ascii="Calibri" w:hAnsi="Calibri" w:cs="Calibri"/>
                <w:b/>
                <w:bCs/>
                <w:color w:val="00183D"/>
                <w:sz w:val="28"/>
                <w:szCs w:val="28"/>
                <w:lang w:val="el-GR"/>
              </w:rPr>
            </w:pPr>
          </w:p>
        </w:tc>
        <w:tc>
          <w:tcPr>
            <w:tcW w:w="283" w:type="dxa"/>
            <w:tcBorders>
              <w:top w:val="nil"/>
              <w:left w:val="nil"/>
              <w:bottom w:val="nil"/>
              <w:right w:val="nil"/>
            </w:tcBorders>
            <w:shd w:val="clear" w:color="auto" w:fill="auto"/>
            <w:hideMark/>
          </w:tcPr>
          <w:p w14:paraId="5142E457"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hideMark/>
          </w:tcPr>
          <w:p w14:paraId="5142E458"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auto" w:fill="auto"/>
            <w:hideMark/>
          </w:tcPr>
          <w:p w14:paraId="5142E459" w14:textId="77777777" w:rsidR="00363E89" w:rsidRPr="007A6EC1" w:rsidRDefault="00363E89" w:rsidP="006623D7">
            <w:pPr>
              <w:rPr>
                <w:sz w:val="20"/>
                <w:szCs w:val="20"/>
                <w:lang w:val="el-GR"/>
              </w:rPr>
            </w:pPr>
          </w:p>
        </w:tc>
        <w:tc>
          <w:tcPr>
            <w:tcW w:w="1418" w:type="dxa"/>
            <w:tcBorders>
              <w:top w:val="nil"/>
              <w:left w:val="nil"/>
              <w:bottom w:val="nil"/>
              <w:right w:val="nil"/>
            </w:tcBorders>
            <w:shd w:val="clear" w:color="auto" w:fill="auto"/>
            <w:hideMark/>
          </w:tcPr>
          <w:p w14:paraId="5142E45A" w14:textId="77777777" w:rsidR="00363E89" w:rsidRPr="007A6EC1" w:rsidRDefault="00363E89" w:rsidP="006623D7">
            <w:pPr>
              <w:rPr>
                <w:sz w:val="20"/>
                <w:szCs w:val="20"/>
                <w:lang w:val="el-GR"/>
              </w:rPr>
            </w:pPr>
          </w:p>
        </w:tc>
      </w:tr>
      <w:tr w:rsidR="00363E89" w:rsidRPr="00005C17" w14:paraId="5142E461" w14:textId="77777777" w:rsidTr="006623D7">
        <w:trPr>
          <w:trHeight w:val="290"/>
        </w:trPr>
        <w:tc>
          <w:tcPr>
            <w:tcW w:w="6521" w:type="dxa"/>
            <w:tcBorders>
              <w:top w:val="single" w:sz="4" w:space="0" w:color="4F81BD"/>
              <w:left w:val="nil"/>
              <w:bottom w:val="nil"/>
              <w:right w:val="nil"/>
            </w:tcBorders>
            <w:shd w:val="clear" w:color="auto" w:fill="auto"/>
            <w:vAlign w:val="center"/>
            <w:hideMark/>
          </w:tcPr>
          <w:p w14:paraId="5142E45C" w14:textId="77777777" w:rsidR="00363E89" w:rsidRPr="007A6EC1" w:rsidRDefault="00363E89" w:rsidP="006623D7">
            <w:pPr>
              <w:rPr>
                <w:rFonts w:ascii="Calibri" w:hAnsi="Calibri" w:cs="Calibri"/>
                <w:i/>
                <w:iCs/>
                <w:sz w:val="18"/>
                <w:szCs w:val="18"/>
                <w:lang w:val="el-GR"/>
              </w:rPr>
            </w:pPr>
            <w:r w:rsidRPr="007A6EC1">
              <w:rPr>
                <w:rFonts w:ascii="Calibri" w:hAnsi="Calibri" w:cs="Calibri"/>
                <w:i/>
                <w:iCs/>
                <w:sz w:val="18"/>
                <w:szCs w:val="18"/>
                <w:lang w:val="el-GR"/>
              </w:rPr>
              <w:t>(ποσά σε χιλιάδες €)</w:t>
            </w:r>
          </w:p>
        </w:tc>
        <w:tc>
          <w:tcPr>
            <w:tcW w:w="283" w:type="dxa"/>
            <w:tcBorders>
              <w:top w:val="nil"/>
              <w:left w:val="nil"/>
              <w:bottom w:val="nil"/>
              <w:right w:val="nil"/>
            </w:tcBorders>
            <w:shd w:val="clear" w:color="auto" w:fill="auto"/>
            <w:vAlign w:val="bottom"/>
            <w:hideMark/>
          </w:tcPr>
          <w:p w14:paraId="5142E45D" w14:textId="77777777" w:rsidR="00363E89" w:rsidRPr="007A6EC1" w:rsidRDefault="00363E89" w:rsidP="006623D7">
            <w:pPr>
              <w:rPr>
                <w:rFonts w:ascii="Calibri" w:hAnsi="Calibri" w:cs="Calibri"/>
                <w:i/>
                <w:iCs/>
                <w:sz w:val="18"/>
                <w:szCs w:val="18"/>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45E" w14:textId="77777777" w:rsidR="00363E89" w:rsidRPr="007A6EC1" w:rsidRDefault="00363E89" w:rsidP="006623D7">
            <w:pPr>
              <w:jc w:val="right"/>
              <w:rPr>
                <w:rFonts w:ascii="Calibri" w:hAnsi="Calibri" w:cs="Calibri"/>
                <w:b/>
                <w:bCs/>
                <w:sz w:val="22"/>
                <w:szCs w:val="22"/>
                <w:lang w:val="el-GR"/>
              </w:rPr>
            </w:pPr>
            <w:r w:rsidRPr="007A6EC1">
              <w:rPr>
                <w:rFonts w:ascii="Calibri" w:hAnsi="Calibri" w:cs="Calibri"/>
                <w:b/>
                <w:bCs/>
                <w:sz w:val="22"/>
                <w:szCs w:val="22"/>
                <w:lang w:val="el-GR"/>
              </w:rPr>
              <w:t>30/06/2021</w:t>
            </w:r>
          </w:p>
        </w:tc>
        <w:tc>
          <w:tcPr>
            <w:tcW w:w="283" w:type="dxa"/>
            <w:tcBorders>
              <w:top w:val="nil"/>
              <w:left w:val="nil"/>
              <w:bottom w:val="nil"/>
              <w:right w:val="nil"/>
            </w:tcBorders>
            <w:shd w:val="clear" w:color="000000" w:fill="FFFFFF"/>
            <w:noWrap/>
            <w:vAlign w:val="bottom"/>
            <w:hideMark/>
          </w:tcPr>
          <w:p w14:paraId="5142E45F" w14:textId="77777777" w:rsidR="00363E89" w:rsidRPr="007A6EC1" w:rsidRDefault="00363E89" w:rsidP="006623D7">
            <w:pPr>
              <w:rPr>
                <w:rFonts w:ascii="Calibri" w:hAnsi="Calibri" w:cs="Calibri"/>
                <w:b/>
                <w:bCs/>
                <w:color w:val="00ACC8"/>
                <w:sz w:val="22"/>
                <w:szCs w:val="22"/>
                <w:lang w:val="el-GR"/>
              </w:rPr>
            </w:pPr>
            <w:r w:rsidRPr="007A6EC1">
              <w:rPr>
                <w:rFonts w:ascii="Calibri" w:hAnsi="Calibri" w:cs="Calibri"/>
                <w:b/>
                <w:bCs/>
                <w:color w:val="00ACC8"/>
                <w:sz w:val="22"/>
                <w:szCs w:val="22"/>
                <w:lang w:val="el-GR"/>
              </w:rPr>
              <w:t> </w:t>
            </w:r>
          </w:p>
        </w:tc>
        <w:tc>
          <w:tcPr>
            <w:tcW w:w="1418" w:type="dxa"/>
            <w:tcBorders>
              <w:top w:val="single" w:sz="4" w:space="0" w:color="4F81BD"/>
              <w:left w:val="nil"/>
              <w:bottom w:val="single" w:sz="4" w:space="0" w:color="auto"/>
              <w:right w:val="nil"/>
            </w:tcBorders>
            <w:shd w:val="clear" w:color="auto" w:fill="auto"/>
            <w:noWrap/>
            <w:vAlign w:val="bottom"/>
            <w:hideMark/>
          </w:tcPr>
          <w:p w14:paraId="5142E460" w14:textId="77777777" w:rsidR="00363E89" w:rsidRPr="007A6EC1" w:rsidRDefault="00363E89" w:rsidP="006623D7">
            <w:pPr>
              <w:jc w:val="right"/>
              <w:rPr>
                <w:rFonts w:ascii="Calibri" w:hAnsi="Calibri" w:cs="Calibri"/>
                <w:b/>
                <w:bCs/>
                <w:sz w:val="22"/>
                <w:szCs w:val="22"/>
                <w:lang w:val="el-GR"/>
              </w:rPr>
            </w:pPr>
            <w:r w:rsidRPr="007A6EC1">
              <w:rPr>
                <w:rFonts w:ascii="Calibri" w:hAnsi="Calibri" w:cs="Calibri"/>
                <w:b/>
                <w:bCs/>
                <w:sz w:val="22"/>
                <w:szCs w:val="22"/>
                <w:lang w:val="el-GR"/>
              </w:rPr>
              <w:t>31/12/2020</w:t>
            </w:r>
          </w:p>
        </w:tc>
      </w:tr>
      <w:tr w:rsidR="00363E89" w:rsidRPr="00005C17" w14:paraId="5142E467" w14:textId="77777777" w:rsidTr="006623D7">
        <w:trPr>
          <w:trHeight w:val="290"/>
        </w:trPr>
        <w:tc>
          <w:tcPr>
            <w:tcW w:w="6521" w:type="dxa"/>
            <w:tcBorders>
              <w:top w:val="nil"/>
              <w:left w:val="nil"/>
              <w:bottom w:val="nil"/>
              <w:right w:val="nil"/>
            </w:tcBorders>
            <w:shd w:val="clear" w:color="auto" w:fill="auto"/>
            <w:vAlign w:val="center"/>
            <w:hideMark/>
          </w:tcPr>
          <w:p w14:paraId="5142E462" w14:textId="77777777" w:rsidR="00363E89" w:rsidRPr="007A6EC1" w:rsidRDefault="00363E89" w:rsidP="006623D7">
            <w:pPr>
              <w:jc w:val="right"/>
              <w:rPr>
                <w:rFonts w:ascii="Calibri" w:hAnsi="Calibri" w:cs="Calibri"/>
                <w:b/>
                <w:bCs/>
                <w:sz w:val="22"/>
                <w:szCs w:val="22"/>
                <w:lang w:val="el-GR"/>
              </w:rPr>
            </w:pPr>
          </w:p>
        </w:tc>
        <w:tc>
          <w:tcPr>
            <w:tcW w:w="283" w:type="dxa"/>
            <w:tcBorders>
              <w:top w:val="nil"/>
              <w:left w:val="nil"/>
              <w:bottom w:val="nil"/>
              <w:right w:val="nil"/>
            </w:tcBorders>
            <w:shd w:val="clear" w:color="auto" w:fill="auto"/>
            <w:vAlign w:val="bottom"/>
            <w:hideMark/>
          </w:tcPr>
          <w:p w14:paraId="5142E463"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noWrap/>
            <w:vAlign w:val="bottom"/>
            <w:hideMark/>
          </w:tcPr>
          <w:p w14:paraId="5142E464" w14:textId="77777777" w:rsidR="00363E89" w:rsidRPr="007A6EC1" w:rsidRDefault="00363E89" w:rsidP="006623D7">
            <w:pPr>
              <w:rPr>
                <w:sz w:val="20"/>
                <w:szCs w:val="20"/>
                <w:lang w:val="el-GR"/>
              </w:rPr>
            </w:pPr>
          </w:p>
        </w:tc>
        <w:tc>
          <w:tcPr>
            <w:tcW w:w="283" w:type="dxa"/>
            <w:tcBorders>
              <w:top w:val="nil"/>
              <w:left w:val="nil"/>
              <w:bottom w:val="nil"/>
              <w:right w:val="nil"/>
            </w:tcBorders>
            <w:shd w:val="clear" w:color="000000" w:fill="FFFFFF"/>
            <w:noWrap/>
            <w:vAlign w:val="bottom"/>
            <w:hideMark/>
          </w:tcPr>
          <w:p w14:paraId="5142E465" w14:textId="77777777" w:rsidR="00363E89" w:rsidRPr="007A6EC1" w:rsidRDefault="00363E89" w:rsidP="006623D7">
            <w:pPr>
              <w:rPr>
                <w:rFonts w:ascii="Greta Sans Pro Reg" w:hAnsi="Greta Sans Pro Reg" w:cs="Times New Roman Greek"/>
                <w:b/>
                <w:bCs/>
                <w:color w:val="00ACC8"/>
                <w:sz w:val="16"/>
                <w:szCs w:val="16"/>
                <w:lang w:val="el-GR"/>
              </w:rPr>
            </w:pPr>
            <w:r w:rsidRPr="007A6EC1">
              <w:rPr>
                <w:rFonts w:ascii="Greta Sans Pro Reg" w:hAnsi="Greta Sans Pro Reg" w:cs="Times New Roman Greek"/>
                <w:b/>
                <w:bCs/>
                <w:color w:val="00ACC8"/>
                <w:sz w:val="16"/>
                <w:szCs w:val="16"/>
                <w:lang w:val="el-GR"/>
              </w:rPr>
              <w:t> </w:t>
            </w:r>
          </w:p>
        </w:tc>
        <w:tc>
          <w:tcPr>
            <w:tcW w:w="1418" w:type="dxa"/>
            <w:tcBorders>
              <w:top w:val="nil"/>
              <w:left w:val="nil"/>
              <w:bottom w:val="nil"/>
              <w:right w:val="nil"/>
            </w:tcBorders>
            <w:shd w:val="clear" w:color="auto" w:fill="auto"/>
            <w:noWrap/>
            <w:vAlign w:val="bottom"/>
            <w:hideMark/>
          </w:tcPr>
          <w:p w14:paraId="5142E466" w14:textId="77777777" w:rsidR="00363E89" w:rsidRPr="007A6EC1" w:rsidRDefault="00363E89" w:rsidP="006623D7">
            <w:pPr>
              <w:rPr>
                <w:rFonts w:ascii="Greta Sans Pro Reg" w:hAnsi="Greta Sans Pro Reg" w:cs="Times New Roman Greek"/>
                <w:b/>
                <w:bCs/>
                <w:color w:val="00ACC8"/>
                <w:sz w:val="16"/>
                <w:szCs w:val="16"/>
                <w:lang w:val="el-GR"/>
              </w:rPr>
            </w:pPr>
          </w:p>
        </w:tc>
      </w:tr>
      <w:tr w:rsidR="00363E89" w:rsidRPr="00005C17" w14:paraId="5142E46D" w14:textId="77777777" w:rsidTr="006623D7">
        <w:trPr>
          <w:trHeight w:val="305"/>
        </w:trPr>
        <w:tc>
          <w:tcPr>
            <w:tcW w:w="6521" w:type="dxa"/>
            <w:tcBorders>
              <w:top w:val="nil"/>
              <w:left w:val="nil"/>
              <w:bottom w:val="nil"/>
              <w:right w:val="nil"/>
            </w:tcBorders>
            <w:shd w:val="clear" w:color="auto" w:fill="auto"/>
            <w:noWrap/>
            <w:vAlign w:val="bottom"/>
            <w:hideMark/>
          </w:tcPr>
          <w:p w14:paraId="5142E468" w14:textId="77777777" w:rsidR="00363E89" w:rsidRPr="007A6EC1" w:rsidRDefault="00363E89" w:rsidP="006623D7">
            <w:pPr>
              <w:rPr>
                <w:rFonts w:ascii="Calibri" w:hAnsi="Calibri" w:cs="Calibri"/>
                <w:b/>
                <w:bCs/>
                <w:color w:val="4F81BD"/>
                <w:lang w:val="el-GR"/>
              </w:rPr>
            </w:pPr>
            <w:r w:rsidRPr="007A6EC1">
              <w:rPr>
                <w:rFonts w:ascii="Calibri" w:hAnsi="Calibri" w:cs="Calibri"/>
                <w:b/>
                <w:bCs/>
                <w:color w:val="4F81BD"/>
                <w:lang w:val="el-GR"/>
              </w:rPr>
              <w:t>Ενεργητικό</w:t>
            </w:r>
          </w:p>
        </w:tc>
        <w:tc>
          <w:tcPr>
            <w:tcW w:w="283" w:type="dxa"/>
            <w:tcBorders>
              <w:top w:val="nil"/>
              <w:left w:val="nil"/>
              <w:bottom w:val="nil"/>
              <w:right w:val="nil"/>
            </w:tcBorders>
            <w:shd w:val="clear" w:color="000000" w:fill="FFFFFF"/>
            <w:noWrap/>
            <w:vAlign w:val="bottom"/>
            <w:hideMark/>
          </w:tcPr>
          <w:p w14:paraId="5142E469" w14:textId="77777777" w:rsidR="00363E89" w:rsidRPr="007A6EC1" w:rsidRDefault="00363E89" w:rsidP="006623D7">
            <w:pPr>
              <w:jc w:val="center"/>
              <w:rPr>
                <w:rFonts w:ascii="Calibri" w:hAnsi="Calibri" w:cs="Calibri"/>
                <w:b/>
                <w:bCs/>
                <w:color w:val="575756"/>
                <w:sz w:val="17"/>
                <w:szCs w:val="17"/>
                <w:lang w:val="el-GR"/>
              </w:rPr>
            </w:pPr>
            <w:r w:rsidRPr="007A6EC1">
              <w:rPr>
                <w:rFonts w:ascii="Calibri" w:hAnsi="Calibri" w:cs="Calibri"/>
                <w:b/>
                <w:bCs/>
                <w:color w:val="575756"/>
                <w:sz w:val="17"/>
                <w:szCs w:val="17"/>
                <w:lang w:val="el-GR"/>
              </w:rPr>
              <w:t> </w:t>
            </w:r>
          </w:p>
        </w:tc>
        <w:tc>
          <w:tcPr>
            <w:tcW w:w="1560" w:type="dxa"/>
            <w:tcBorders>
              <w:top w:val="nil"/>
              <w:left w:val="nil"/>
              <w:bottom w:val="nil"/>
              <w:right w:val="nil"/>
            </w:tcBorders>
            <w:shd w:val="clear" w:color="auto" w:fill="auto"/>
            <w:noWrap/>
            <w:vAlign w:val="bottom"/>
            <w:hideMark/>
          </w:tcPr>
          <w:p w14:paraId="5142E46A" w14:textId="77777777" w:rsidR="00363E89" w:rsidRPr="007A6EC1" w:rsidRDefault="00363E89" w:rsidP="006623D7">
            <w:pPr>
              <w:jc w:val="center"/>
              <w:rPr>
                <w:rFonts w:ascii="Calibri" w:hAnsi="Calibri" w:cs="Calibri"/>
                <w:b/>
                <w:bCs/>
                <w:color w:val="575756"/>
                <w:sz w:val="17"/>
                <w:szCs w:val="17"/>
                <w:lang w:val="el-GR"/>
              </w:rPr>
            </w:pPr>
          </w:p>
        </w:tc>
        <w:tc>
          <w:tcPr>
            <w:tcW w:w="283" w:type="dxa"/>
            <w:tcBorders>
              <w:top w:val="nil"/>
              <w:left w:val="nil"/>
              <w:bottom w:val="nil"/>
              <w:right w:val="nil"/>
            </w:tcBorders>
            <w:shd w:val="clear" w:color="000000" w:fill="FFFFFF"/>
            <w:noWrap/>
            <w:vAlign w:val="bottom"/>
            <w:hideMark/>
          </w:tcPr>
          <w:p w14:paraId="5142E46B" w14:textId="77777777" w:rsidR="00363E89" w:rsidRPr="007A6EC1" w:rsidRDefault="00363E89" w:rsidP="006623D7">
            <w:pPr>
              <w:jc w:val="center"/>
              <w:rPr>
                <w:rFonts w:ascii="Calibri" w:hAnsi="Calibri" w:cs="Calibri"/>
                <w:b/>
                <w:bCs/>
                <w:color w:val="575756"/>
                <w:sz w:val="22"/>
                <w:szCs w:val="22"/>
                <w:lang w:val="el-GR"/>
              </w:rPr>
            </w:pPr>
            <w:r w:rsidRPr="007A6EC1">
              <w:rPr>
                <w:rFonts w:ascii="Calibri" w:hAnsi="Calibri" w:cs="Calibri"/>
                <w:b/>
                <w:bCs/>
                <w:color w:val="575756"/>
                <w:sz w:val="22"/>
                <w:szCs w:val="22"/>
                <w:lang w:val="el-GR"/>
              </w:rPr>
              <w:t> </w:t>
            </w:r>
          </w:p>
        </w:tc>
        <w:tc>
          <w:tcPr>
            <w:tcW w:w="1418" w:type="dxa"/>
            <w:tcBorders>
              <w:top w:val="nil"/>
              <w:left w:val="nil"/>
              <w:bottom w:val="nil"/>
              <w:right w:val="nil"/>
            </w:tcBorders>
            <w:shd w:val="clear" w:color="auto" w:fill="auto"/>
            <w:noWrap/>
            <w:vAlign w:val="bottom"/>
            <w:hideMark/>
          </w:tcPr>
          <w:p w14:paraId="5142E46C" w14:textId="77777777" w:rsidR="00363E89" w:rsidRPr="007A6EC1" w:rsidRDefault="00363E89" w:rsidP="006623D7">
            <w:pPr>
              <w:jc w:val="center"/>
              <w:rPr>
                <w:rFonts w:ascii="Calibri" w:hAnsi="Calibri" w:cs="Calibri"/>
                <w:b/>
                <w:bCs/>
                <w:color w:val="575756"/>
                <w:sz w:val="22"/>
                <w:szCs w:val="22"/>
                <w:lang w:val="el-GR"/>
              </w:rPr>
            </w:pPr>
          </w:p>
        </w:tc>
      </w:tr>
      <w:tr w:rsidR="00363E89" w:rsidRPr="00005C17" w14:paraId="5142E473" w14:textId="77777777" w:rsidTr="006623D7">
        <w:trPr>
          <w:trHeight w:val="290"/>
        </w:trPr>
        <w:tc>
          <w:tcPr>
            <w:tcW w:w="6521" w:type="dxa"/>
            <w:tcBorders>
              <w:top w:val="single" w:sz="4" w:space="0" w:color="4F81BD"/>
              <w:left w:val="nil"/>
              <w:bottom w:val="single" w:sz="4" w:space="0" w:color="000000"/>
              <w:right w:val="nil"/>
            </w:tcBorders>
            <w:shd w:val="clear" w:color="auto" w:fill="auto"/>
            <w:noWrap/>
            <w:vAlign w:val="bottom"/>
            <w:hideMark/>
          </w:tcPr>
          <w:p w14:paraId="5142E46E"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Ενσώματες ακινητοποιήσεις και επενδυτικά ακίνητα</w:t>
            </w:r>
          </w:p>
        </w:tc>
        <w:tc>
          <w:tcPr>
            <w:tcW w:w="283" w:type="dxa"/>
            <w:tcBorders>
              <w:top w:val="nil"/>
              <w:left w:val="nil"/>
              <w:bottom w:val="nil"/>
              <w:right w:val="nil"/>
            </w:tcBorders>
            <w:shd w:val="clear" w:color="auto" w:fill="auto"/>
            <w:noWrap/>
            <w:vAlign w:val="bottom"/>
            <w:hideMark/>
          </w:tcPr>
          <w:p w14:paraId="5142E46F" w14:textId="77777777" w:rsidR="00363E89" w:rsidRPr="007A6EC1" w:rsidRDefault="00363E89" w:rsidP="006623D7">
            <w:pPr>
              <w:rPr>
                <w:rFonts w:ascii="Calibri" w:hAnsi="Calibri" w:cs="Calibri"/>
                <w:sz w:val="21"/>
                <w:szCs w:val="21"/>
                <w:lang w:val="el-GR"/>
              </w:rPr>
            </w:pPr>
          </w:p>
        </w:tc>
        <w:tc>
          <w:tcPr>
            <w:tcW w:w="1560" w:type="dxa"/>
            <w:tcBorders>
              <w:top w:val="single" w:sz="4" w:space="0" w:color="4F81BD"/>
              <w:left w:val="nil"/>
              <w:bottom w:val="single" w:sz="4" w:space="0" w:color="000000"/>
              <w:right w:val="nil"/>
            </w:tcBorders>
            <w:shd w:val="clear" w:color="000000" w:fill="F2F2F2"/>
            <w:noWrap/>
            <w:vAlign w:val="bottom"/>
            <w:hideMark/>
          </w:tcPr>
          <w:p w14:paraId="5142E47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1.542.076</w:t>
            </w:r>
          </w:p>
        </w:tc>
        <w:tc>
          <w:tcPr>
            <w:tcW w:w="283" w:type="dxa"/>
            <w:tcBorders>
              <w:top w:val="nil"/>
              <w:left w:val="nil"/>
              <w:bottom w:val="nil"/>
              <w:right w:val="nil"/>
            </w:tcBorders>
            <w:shd w:val="clear" w:color="auto" w:fill="auto"/>
            <w:noWrap/>
            <w:vAlign w:val="bottom"/>
            <w:hideMark/>
          </w:tcPr>
          <w:p w14:paraId="5142E471" w14:textId="77777777" w:rsidR="00363E89" w:rsidRPr="007A6EC1" w:rsidRDefault="00363E89" w:rsidP="006623D7">
            <w:pPr>
              <w:jc w:val="right"/>
              <w:rPr>
                <w:rFonts w:ascii="Calibri" w:hAnsi="Calibri" w:cs="Calibri"/>
                <w:sz w:val="21"/>
                <w:szCs w:val="21"/>
                <w:lang w:val="el-GR"/>
              </w:rPr>
            </w:pPr>
          </w:p>
        </w:tc>
        <w:tc>
          <w:tcPr>
            <w:tcW w:w="1418" w:type="dxa"/>
            <w:tcBorders>
              <w:top w:val="single" w:sz="4" w:space="0" w:color="4F81BD"/>
              <w:left w:val="nil"/>
              <w:bottom w:val="single" w:sz="4" w:space="0" w:color="000000"/>
              <w:right w:val="nil"/>
            </w:tcBorders>
            <w:shd w:val="clear" w:color="auto" w:fill="auto"/>
            <w:noWrap/>
            <w:vAlign w:val="bottom"/>
            <w:hideMark/>
          </w:tcPr>
          <w:p w14:paraId="5142E47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1.540.963</w:t>
            </w:r>
          </w:p>
        </w:tc>
      </w:tr>
      <w:tr w:rsidR="00363E89" w:rsidRPr="00005C17" w14:paraId="5142E479" w14:textId="77777777" w:rsidTr="006623D7">
        <w:trPr>
          <w:trHeight w:val="290"/>
        </w:trPr>
        <w:tc>
          <w:tcPr>
            <w:tcW w:w="6521" w:type="dxa"/>
            <w:tcBorders>
              <w:top w:val="nil"/>
              <w:left w:val="nil"/>
              <w:bottom w:val="single" w:sz="4" w:space="0" w:color="000000"/>
              <w:right w:val="nil"/>
            </w:tcBorders>
            <w:shd w:val="clear" w:color="auto" w:fill="auto"/>
            <w:noWrap/>
            <w:vAlign w:val="bottom"/>
            <w:hideMark/>
          </w:tcPr>
          <w:p w14:paraId="5142E474" w14:textId="77777777" w:rsidR="00363E89" w:rsidRPr="007A6EC1" w:rsidRDefault="00363E89" w:rsidP="006623D7">
            <w:pPr>
              <w:rPr>
                <w:rFonts w:ascii="Calibri" w:hAnsi="Calibri" w:cs="Calibri"/>
                <w:sz w:val="21"/>
                <w:szCs w:val="21"/>
                <w:lang w:val="el-GR"/>
              </w:rPr>
            </w:pPr>
            <w:proofErr w:type="spellStart"/>
            <w:r w:rsidRPr="007A6EC1">
              <w:rPr>
                <w:rFonts w:ascii="Calibri" w:hAnsi="Calibri" w:cs="Calibri"/>
                <w:sz w:val="21"/>
                <w:szCs w:val="21"/>
                <w:lang w:val="el-GR"/>
              </w:rPr>
              <w:t>Aσώματες</w:t>
            </w:r>
            <w:proofErr w:type="spellEnd"/>
            <w:r w:rsidRPr="007A6EC1">
              <w:rPr>
                <w:rFonts w:ascii="Calibri" w:hAnsi="Calibri" w:cs="Calibri"/>
                <w:sz w:val="21"/>
                <w:szCs w:val="21"/>
                <w:lang w:val="el-GR"/>
              </w:rPr>
              <w:t xml:space="preserve"> ακινητοποιήσεις και υπεραξία</w:t>
            </w:r>
          </w:p>
        </w:tc>
        <w:tc>
          <w:tcPr>
            <w:tcW w:w="283" w:type="dxa"/>
            <w:tcBorders>
              <w:top w:val="nil"/>
              <w:left w:val="nil"/>
              <w:bottom w:val="nil"/>
              <w:right w:val="nil"/>
            </w:tcBorders>
            <w:shd w:val="clear" w:color="auto" w:fill="auto"/>
            <w:noWrap/>
            <w:vAlign w:val="bottom"/>
            <w:hideMark/>
          </w:tcPr>
          <w:p w14:paraId="5142E475"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single" w:sz="4" w:space="0" w:color="000000"/>
              <w:right w:val="nil"/>
            </w:tcBorders>
            <w:shd w:val="clear" w:color="000000" w:fill="F2F2F2"/>
            <w:noWrap/>
            <w:vAlign w:val="bottom"/>
            <w:hideMark/>
          </w:tcPr>
          <w:p w14:paraId="5142E47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358.878</w:t>
            </w:r>
          </w:p>
        </w:tc>
        <w:tc>
          <w:tcPr>
            <w:tcW w:w="283" w:type="dxa"/>
            <w:tcBorders>
              <w:top w:val="nil"/>
              <w:left w:val="nil"/>
              <w:bottom w:val="nil"/>
              <w:right w:val="nil"/>
            </w:tcBorders>
            <w:shd w:val="clear" w:color="auto" w:fill="auto"/>
            <w:noWrap/>
            <w:vAlign w:val="bottom"/>
            <w:hideMark/>
          </w:tcPr>
          <w:p w14:paraId="5142E477"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7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352.292</w:t>
            </w:r>
          </w:p>
        </w:tc>
      </w:tr>
      <w:tr w:rsidR="00363E89" w:rsidRPr="00005C17" w14:paraId="5142E47F" w14:textId="77777777" w:rsidTr="006623D7">
        <w:trPr>
          <w:trHeight w:val="290"/>
        </w:trPr>
        <w:tc>
          <w:tcPr>
            <w:tcW w:w="6521" w:type="dxa"/>
            <w:tcBorders>
              <w:top w:val="nil"/>
              <w:left w:val="nil"/>
              <w:bottom w:val="single" w:sz="4" w:space="0" w:color="000000"/>
              <w:right w:val="nil"/>
            </w:tcBorders>
            <w:shd w:val="clear" w:color="auto" w:fill="auto"/>
            <w:noWrap/>
            <w:vAlign w:val="bottom"/>
            <w:hideMark/>
          </w:tcPr>
          <w:p w14:paraId="5142E47A"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Συμμετοχές σε συγγενείς εταιρίες και κοινοπραξίες</w:t>
            </w:r>
          </w:p>
        </w:tc>
        <w:tc>
          <w:tcPr>
            <w:tcW w:w="283" w:type="dxa"/>
            <w:tcBorders>
              <w:top w:val="nil"/>
              <w:left w:val="nil"/>
              <w:bottom w:val="nil"/>
              <w:right w:val="nil"/>
            </w:tcBorders>
            <w:shd w:val="clear" w:color="auto" w:fill="auto"/>
            <w:noWrap/>
            <w:vAlign w:val="bottom"/>
            <w:hideMark/>
          </w:tcPr>
          <w:p w14:paraId="5142E47B"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single" w:sz="4" w:space="0" w:color="000000"/>
              <w:right w:val="nil"/>
            </w:tcBorders>
            <w:shd w:val="clear" w:color="000000" w:fill="F2F2F2"/>
            <w:noWrap/>
            <w:vAlign w:val="bottom"/>
            <w:hideMark/>
          </w:tcPr>
          <w:p w14:paraId="5142E47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91.838</w:t>
            </w:r>
          </w:p>
        </w:tc>
        <w:tc>
          <w:tcPr>
            <w:tcW w:w="283" w:type="dxa"/>
            <w:tcBorders>
              <w:top w:val="nil"/>
              <w:left w:val="nil"/>
              <w:bottom w:val="nil"/>
              <w:right w:val="nil"/>
            </w:tcBorders>
            <w:shd w:val="clear" w:color="auto" w:fill="auto"/>
            <w:noWrap/>
            <w:vAlign w:val="bottom"/>
            <w:hideMark/>
          </w:tcPr>
          <w:p w14:paraId="5142E47D"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7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85.610</w:t>
            </w:r>
          </w:p>
        </w:tc>
      </w:tr>
      <w:tr w:rsidR="00363E89" w:rsidRPr="00005C17" w14:paraId="5142E485" w14:textId="77777777" w:rsidTr="006623D7">
        <w:trPr>
          <w:trHeight w:val="290"/>
        </w:trPr>
        <w:tc>
          <w:tcPr>
            <w:tcW w:w="6521" w:type="dxa"/>
            <w:tcBorders>
              <w:top w:val="nil"/>
              <w:left w:val="nil"/>
              <w:bottom w:val="single" w:sz="4" w:space="0" w:color="000000"/>
              <w:right w:val="nil"/>
            </w:tcBorders>
            <w:shd w:val="clear" w:color="auto" w:fill="auto"/>
            <w:noWrap/>
            <w:vAlign w:val="bottom"/>
            <w:hideMark/>
          </w:tcPr>
          <w:p w14:paraId="5142E480"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Λοιπά μη </w:t>
            </w:r>
            <w:proofErr w:type="spellStart"/>
            <w:r w:rsidRPr="007A6EC1">
              <w:rPr>
                <w:rFonts w:ascii="Calibri" w:hAnsi="Calibri" w:cs="Calibri"/>
                <w:sz w:val="21"/>
                <w:szCs w:val="21"/>
                <w:lang w:val="el-GR"/>
              </w:rPr>
              <w:t>κυκλοφορούντα</w:t>
            </w:r>
            <w:proofErr w:type="spellEnd"/>
            <w:r w:rsidRPr="007A6EC1">
              <w:rPr>
                <w:rFonts w:ascii="Calibri" w:hAnsi="Calibri" w:cs="Calibri"/>
                <w:sz w:val="21"/>
                <w:szCs w:val="21"/>
                <w:lang w:val="el-GR"/>
              </w:rPr>
              <w:t xml:space="preserve"> περιουσιακά στοιχεία</w:t>
            </w:r>
          </w:p>
        </w:tc>
        <w:tc>
          <w:tcPr>
            <w:tcW w:w="283" w:type="dxa"/>
            <w:tcBorders>
              <w:top w:val="nil"/>
              <w:left w:val="nil"/>
              <w:bottom w:val="nil"/>
              <w:right w:val="nil"/>
            </w:tcBorders>
            <w:shd w:val="clear" w:color="auto" w:fill="auto"/>
            <w:noWrap/>
            <w:vAlign w:val="bottom"/>
            <w:hideMark/>
          </w:tcPr>
          <w:p w14:paraId="5142E481"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single" w:sz="4" w:space="0" w:color="000000"/>
              <w:right w:val="nil"/>
            </w:tcBorders>
            <w:shd w:val="clear" w:color="000000" w:fill="F2F2F2"/>
            <w:noWrap/>
            <w:vAlign w:val="bottom"/>
            <w:hideMark/>
          </w:tcPr>
          <w:p w14:paraId="5142E48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17.751</w:t>
            </w:r>
          </w:p>
        </w:tc>
        <w:tc>
          <w:tcPr>
            <w:tcW w:w="283" w:type="dxa"/>
            <w:tcBorders>
              <w:top w:val="nil"/>
              <w:left w:val="nil"/>
              <w:bottom w:val="nil"/>
              <w:right w:val="nil"/>
            </w:tcBorders>
            <w:shd w:val="clear" w:color="auto" w:fill="auto"/>
            <w:noWrap/>
            <w:vAlign w:val="bottom"/>
            <w:hideMark/>
          </w:tcPr>
          <w:p w14:paraId="5142E483"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8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19.248</w:t>
            </w:r>
          </w:p>
        </w:tc>
      </w:tr>
      <w:tr w:rsidR="00363E89" w:rsidRPr="00005C17" w14:paraId="5142E48B" w14:textId="77777777" w:rsidTr="006623D7">
        <w:trPr>
          <w:trHeight w:val="290"/>
        </w:trPr>
        <w:tc>
          <w:tcPr>
            <w:tcW w:w="6521" w:type="dxa"/>
            <w:tcBorders>
              <w:top w:val="nil"/>
              <w:left w:val="nil"/>
              <w:bottom w:val="nil"/>
              <w:right w:val="nil"/>
            </w:tcBorders>
            <w:shd w:val="clear" w:color="auto" w:fill="auto"/>
            <w:noWrap/>
            <w:vAlign w:val="bottom"/>
            <w:hideMark/>
          </w:tcPr>
          <w:p w14:paraId="5142E486"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Αναβαλλόμενες φορολογικές απαιτήσεις</w:t>
            </w:r>
          </w:p>
        </w:tc>
        <w:tc>
          <w:tcPr>
            <w:tcW w:w="283" w:type="dxa"/>
            <w:tcBorders>
              <w:top w:val="nil"/>
              <w:left w:val="nil"/>
              <w:bottom w:val="nil"/>
              <w:right w:val="nil"/>
            </w:tcBorders>
            <w:shd w:val="clear" w:color="auto" w:fill="auto"/>
            <w:noWrap/>
            <w:vAlign w:val="bottom"/>
            <w:hideMark/>
          </w:tcPr>
          <w:p w14:paraId="5142E487"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nil"/>
              <w:right w:val="nil"/>
            </w:tcBorders>
            <w:shd w:val="clear" w:color="000000" w:fill="F2F2F2"/>
            <w:noWrap/>
            <w:vAlign w:val="bottom"/>
            <w:hideMark/>
          </w:tcPr>
          <w:p w14:paraId="5142E48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10.746</w:t>
            </w:r>
          </w:p>
        </w:tc>
        <w:tc>
          <w:tcPr>
            <w:tcW w:w="283" w:type="dxa"/>
            <w:tcBorders>
              <w:top w:val="nil"/>
              <w:left w:val="nil"/>
              <w:bottom w:val="nil"/>
              <w:right w:val="nil"/>
            </w:tcBorders>
            <w:shd w:val="clear" w:color="auto" w:fill="auto"/>
            <w:noWrap/>
            <w:vAlign w:val="bottom"/>
            <w:hideMark/>
          </w:tcPr>
          <w:p w14:paraId="5142E489"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nil"/>
              <w:right w:val="nil"/>
            </w:tcBorders>
            <w:shd w:val="clear" w:color="auto" w:fill="auto"/>
            <w:noWrap/>
            <w:vAlign w:val="bottom"/>
            <w:hideMark/>
          </w:tcPr>
          <w:p w14:paraId="5142E48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15.201</w:t>
            </w:r>
          </w:p>
        </w:tc>
      </w:tr>
      <w:tr w:rsidR="00363E89" w:rsidRPr="00005C17" w14:paraId="5142E491"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48C"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 xml:space="preserve">Σύνολο μη </w:t>
            </w:r>
            <w:proofErr w:type="spellStart"/>
            <w:r w:rsidRPr="007A6EC1">
              <w:rPr>
                <w:rFonts w:ascii="Calibri" w:hAnsi="Calibri" w:cs="Calibri"/>
                <w:b/>
                <w:bCs/>
                <w:sz w:val="21"/>
                <w:szCs w:val="21"/>
                <w:lang w:val="el-GR"/>
              </w:rPr>
              <w:t>κυκλοφορούντων</w:t>
            </w:r>
            <w:proofErr w:type="spellEnd"/>
            <w:r w:rsidRPr="007A6EC1">
              <w:rPr>
                <w:rFonts w:ascii="Calibri" w:hAnsi="Calibri" w:cs="Calibri"/>
                <w:b/>
                <w:bCs/>
                <w:sz w:val="21"/>
                <w:szCs w:val="21"/>
                <w:lang w:val="el-GR"/>
              </w:rPr>
              <w:t xml:space="preserve"> περιουσιακών στοιχείων</w:t>
            </w:r>
          </w:p>
        </w:tc>
        <w:tc>
          <w:tcPr>
            <w:tcW w:w="283" w:type="dxa"/>
            <w:tcBorders>
              <w:top w:val="nil"/>
              <w:left w:val="nil"/>
              <w:bottom w:val="nil"/>
              <w:right w:val="nil"/>
            </w:tcBorders>
            <w:shd w:val="clear" w:color="auto" w:fill="auto"/>
            <w:noWrap/>
            <w:vAlign w:val="bottom"/>
            <w:hideMark/>
          </w:tcPr>
          <w:p w14:paraId="5142E48D"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48E"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2.021.289</w:t>
            </w:r>
          </w:p>
        </w:tc>
        <w:tc>
          <w:tcPr>
            <w:tcW w:w="283" w:type="dxa"/>
            <w:tcBorders>
              <w:top w:val="nil"/>
              <w:left w:val="nil"/>
              <w:bottom w:val="nil"/>
              <w:right w:val="nil"/>
            </w:tcBorders>
            <w:shd w:val="clear" w:color="auto" w:fill="auto"/>
            <w:noWrap/>
            <w:vAlign w:val="bottom"/>
            <w:hideMark/>
          </w:tcPr>
          <w:p w14:paraId="5142E48F"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490"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2.013.314</w:t>
            </w:r>
          </w:p>
        </w:tc>
      </w:tr>
      <w:tr w:rsidR="00363E89" w:rsidRPr="00005C17" w14:paraId="5142E497" w14:textId="77777777" w:rsidTr="006623D7">
        <w:trPr>
          <w:trHeight w:val="276"/>
        </w:trPr>
        <w:tc>
          <w:tcPr>
            <w:tcW w:w="6521" w:type="dxa"/>
            <w:tcBorders>
              <w:top w:val="nil"/>
              <w:left w:val="nil"/>
              <w:bottom w:val="single" w:sz="4" w:space="0" w:color="auto"/>
              <w:right w:val="nil"/>
            </w:tcBorders>
            <w:shd w:val="clear" w:color="auto" w:fill="auto"/>
            <w:noWrap/>
            <w:vAlign w:val="bottom"/>
            <w:hideMark/>
          </w:tcPr>
          <w:p w14:paraId="5142E492"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 </w:t>
            </w:r>
          </w:p>
        </w:tc>
        <w:tc>
          <w:tcPr>
            <w:tcW w:w="283" w:type="dxa"/>
            <w:tcBorders>
              <w:top w:val="nil"/>
              <w:left w:val="nil"/>
              <w:bottom w:val="nil"/>
              <w:right w:val="nil"/>
            </w:tcBorders>
            <w:shd w:val="clear" w:color="auto" w:fill="auto"/>
            <w:noWrap/>
            <w:vAlign w:val="bottom"/>
            <w:hideMark/>
          </w:tcPr>
          <w:p w14:paraId="5142E493" w14:textId="77777777" w:rsidR="00363E89" w:rsidRPr="007A6EC1" w:rsidRDefault="00363E89" w:rsidP="006623D7">
            <w:pPr>
              <w:rPr>
                <w:rFonts w:ascii="Calibri" w:hAnsi="Calibri" w:cs="Calibri"/>
                <w:b/>
                <w:bCs/>
                <w:sz w:val="21"/>
                <w:szCs w:val="21"/>
                <w:lang w:val="el-GR"/>
              </w:rPr>
            </w:pPr>
          </w:p>
        </w:tc>
        <w:tc>
          <w:tcPr>
            <w:tcW w:w="1560" w:type="dxa"/>
            <w:tcBorders>
              <w:top w:val="nil"/>
              <w:left w:val="nil"/>
              <w:bottom w:val="single" w:sz="4" w:space="0" w:color="auto"/>
              <w:right w:val="nil"/>
            </w:tcBorders>
            <w:shd w:val="clear" w:color="auto" w:fill="auto"/>
            <w:noWrap/>
            <w:vAlign w:val="bottom"/>
            <w:hideMark/>
          </w:tcPr>
          <w:p w14:paraId="5142E49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 </w:t>
            </w:r>
          </w:p>
        </w:tc>
        <w:tc>
          <w:tcPr>
            <w:tcW w:w="283" w:type="dxa"/>
            <w:tcBorders>
              <w:top w:val="nil"/>
              <w:left w:val="nil"/>
              <w:bottom w:val="nil"/>
              <w:right w:val="nil"/>
            </w:tcBorders>
            <w:shd w:val="clear" w:color="auto" w:fill="auto"/>
            <w:noWrap/>
            <w:vAlign w:val="bottom"/>
            <w:hideMark/>
          </w:tcPr>
          <w:p w14:paraId="5142E495" w14:textId="77777777" w:rsidR="00363E89" w:rsidRPr="007A6EC1" w:rsidRDefault="00363E89" w:rsidP="006623D7">
            <w:pPr>
              <w:jc w:val="right"/>
              <w:rPr>
                <w:rFonts w:ascii="Calibri" w:hAnsi="Calibri" w:cs="Calibri"/>
                <w:b/>
                <w:bCs/>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96"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 </w:t>
            </w:r>
          </w:p>
        </w:tc>
      </w:tr>
      <w:tr w:rsidR="00363E89" w:rsidRPr="00005C17" w14:paraId="5142E49D" w14:textId="77777777" w:rsidTr="006623D7">
        <w:trPr>
          <w:trHeight w:val="290"/>
        </w:trPr>
        <w:tc>
          <w:tcPr>
            <w:tcW w:w="6521" w:type="dxa"/>
            <w:tcBorders>
              <w:top w:val="nil"/>
              <w:left w:val="nil"/>
              <w:bottom w:val="single" w:sz="4" w:space="0" w:color="auto"/>
              <w:right w:val="nil"/>
            </w:tcBorders>
            <w:shd w:val="clear" w:color="auto" w:fill="auto"/>
            <w:noWrap/>
            <w:vAlign w:val="bottom"/>
            <w:hideMark/>
          </w:tcPr>
          <w:p w14:paraId="5142E498"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Αποθέματα</w:t>
            </w:r>
          </w:p>
        </w:tc>
        <w:tc>
          <w:tcPr>
            <w:tcW w:w="283" w:type="dxa"/>
            <w:tcBorders>
              <w:top w:val="nil"/>
              <w:left w:val="nil"/>
              <w:bottom w:val="nil"/>
              <w:right w:val="nil"/>
            </w:tcBorders>
            <w:shd w:val="clear" w:color="auto" w:fill="auto"/>
            <w:noWrap/>
            <w:vAlign w:val="bottom"/>
            <w:hideMark/>
          </w:tcPr>
          <w:p w14:paraId="5142E499"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single" w:sz="4" w:space="0" w:color="auto"/>
              <w:right w:val="nil"/>
            </w:tcBorders>
            <w:shd w:val="clear" w:color="000000" w:fill="F2F2F2"/>
            <w:noWrap/>
            <w:vAlign w:val="bottom"/>
            <w:hideMark/>
          </w:tcPr>
          <w:p w14:paraId="5142E49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276.053</w:t>
            </w:r>
          </w:p>
        </w:tc>
        <w:tc>
          <w:tcPr>
            <w:tcW w:w="283" w:type="dxa"/>
            <w:tcBorders>
              <w:top w:val="nil"/>
              <w:left w:val="nil"/>
              <w:bottom w:val="nil"/>
              <w:right w:val="nil"/>
            </w:tcBorders>
            <w:shd w:val="clear" w:color="auto" w:fill="auto"/>
            <w:noWrap/>
            <w:vAlign w:val="bottom"/>
            <w:hideMark/>
          </w:tcPr>
          <w:p w14:paraId="5142E49B"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9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248.586</w:t>
            </w:r>
          </w:p>
        </w:tc>
      </w:tr>
      <w:tr w:rsidR="00363E89" w:rsidRPr="00005C17" w14:paraId="5142E4A3" w14:textId="77777777" w:rsidTr="006623D7">
        <w:trPr>
          <w:trHeight w:val="290"/>
        </w:trPr>
        <w:tc>
          <w:tcPr>
            <w:tcW w:w="6521" w:type="dxa"/>
            <w:tcBorders>
              <w:top w:val="nil"/>
              <w:left w:val="nil"/>
              <w:bottom w:val="single" w:sz="4" w:space="0" w:color="auto"/>
              <w:right w:val="nil"/>
            </w:tcBorders>
            <w:shd w:val="clear" w:color="auto" w:fill="auto"/>
            <w:noWrap/>
            <w:vAlign w:val="bottom"/>
            <w:hideMark/>
          </w:tcPr>
          <w:p w14:paraId="5142E49E"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Απαιτήσεις, προπληρωμές και λοιπά </w:t>
            </w:r>
            <w:proofErr w:type="spellStart"/>
            <w:r w:rsidRPr="007A6EC1">
              <w:rPr>
                <w:rFonts w:ascii="Calibri" w:hAnsi="Calibri" w:cs="Calibri"/>
                <w:sz w:val="21"/>
                <w:szCs w:val="21"/>
                <w:lang w:val="el-GR"/>
              </w:rPr>
              <w:t>κυκλοφορούντα</w:t>
            </w:r>
            <w:proofErr w:type="spellEnd"/>
            <w:r w:rsidRPr="007A6EC1">
              <w:rPr>
                <w:rFonts w:ascii="Calibri" w:hAnsi="Calibri" w:cs="Calibri"/>
                <w:sz w:val="21"/>
                <w:szCs w:val="21"/>
                <w:lang w:val="el-GR"/>
              </w:rPr>
              <w:t xml:space="preserve"> περιουσιακά στοιχεία</w:t>
            </w:r>
          </w:p>
        </w:tc>
        <w:tc>
          <w:tcPr>
            <w:tcW w:w="283" w:type="dxa"/>
            <w:tcBorders>
              <w:top w:val="nil"/>
              <w:left w:val="nil"/>
              <w:bottom w:val="nil"/>
              <w:right w:val="nil"/>
            </w:tcBorders>
            <w:shd w:val="clear" w:color="auto" w:fill="auto"/>
            <w:noWrap/>
            <w:vAlign w:val="bottom"/>
            <w:hideMark/>
          </w:tcPr>
          <w:p w14:paraId="5142E49F"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single" w:sz="4" w:space="0" w:color="auto"/>
              <w:right w:val="nil"/>
            </w:tcBorders>
            <w:shd w:val="clear" w:color="000000" w:fill="F2F2F2"/>
            <w:noWrap/>
            <w:vAlign w:val="bottom"/>
            <w:hideMark/>
          </w:tcPr>
          <w:p w14:paraId="5142E4A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236.039</w:t>
            </w:r>
          </w:p>
        </w:tc>
        <w:tc>
          <w:tcPr>
            <w:tcW w:w="283" w:type="dxa"/>
            <w:tcBorders>
              <w:top w:val="nil"/>
              <w:left w:val="nil"/>
              <w:bottom w:val="nil"/>
              <w:right w:val="nil"/>
            </w:tcBorders>
            <w:shd w:val="clear" w:color="auto" w:fill="auto"/>
            <w:noWrap/>
            <w:vAlign w:val="bottom"/>
            <w:hideMark/>
          </w:tcPr>
          <w:p w14:paraId="5142E4A1"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single" w:sz="4" w:space="0" w:color="auto"/>
              <w:right w:val="nil"/>
            </w:tcBorders>
            <w:shd w:val="clear" w:color="auto" w:fill="auto"/>
            <w:noWrap/>
            <w:vAlign w:val="bottom"/>
            <w:hideMark/>
          </w:tcPr>
          <w:p w14:paraId="5142E4A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210.595</w:t>
            </w:r>
          </w:p>
        </w:tc>
      </w:tr>
      <w:tr w:rsidR="00363E89" w:rsidRPr="00005C17" w14:paraId="5142E4A9" w14:textId="77777777" w:rsidTr="006623D7">
        <w:trPr>
          <w:trHeight w:val="290"/>
        </w:trPr>
        <w:tc>
          <w:tcPr>
            <w:tcW w:w="6521" w:type="dxa"/>
            <w:tcBorders>
              <w:top w:val="nil"/>
              <w:left w:val="nil"/>
              <w:bottom w:val="nil"/>
              <w:right w:val="nil"/>
            </w:tcBorders>
            <w:shd w:val="clear" w:color="000000" w:fill="FFFFFF"/>
            <w:noWrap/>
            <w:vAlign w:val="bottom"/>
            <w:hideMark/>
          </w:tcPr>
          <w:p w14:paraId="5142E4A4"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Ταμειακά διαθέσιμα και ισοδύναμα</w:t>
            </w:r>
          </w:p>
        </w:tc>
        <w:tc>
          <w:tcPr>
            <w:tcW w:w="283" w:type="dxa"/>
            <w:tcBorders>
              <w:top w:val="nil"/>
              <w:left w:val="nil"/>
              <w:bottom w:val="nil"/>
              <w:right w:val="nil"/>
            </w:tcBorders>
            <w:shd w:val="clear" w:color="auto" w:fill="auto"/>
            <w:noWrap/>
            <w:vAlign w:val="bottom"/>
            <w:hideMark/>
          </w:tcPr>
          <w:p w14:paraId="5142E4A5"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nil"/>
              <w:right w:val="nil"/>
            </w:tcBorders>
            <w:shd w:val="clear" w:color="000000" w:fill="F2F2F2"/>
            <w:noWrap/>
            <w:vAlign w:val="bottom"/>
            <w:hideMark/>
          </w:tcPr>
          <w:p w14:paraId="5142E4A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93.695</w:t>
            </w:r>
          </w:p>
        </w:tc>
        <w:tc>
          <w:tcPr>
            <w:tcW w:w="283" w:type="dxa"/>
            <w:tcBorders>
              <w:top w:val="nil"/>
              <w:left w:val="nil"/>
              <w:bottom w:val="nil"/>
              <w:right w:val="nil"/>
            </w:tcBorders>
            <w:shd w:val="clear" w:color="auto" w:fill="auto"/>
            <w:noWrap/>
            <w:vAlign w:val="bottom"/>
            <w:hideMark/>
          </w:tcPr>
          <w:p w14:paraId="5142E4A7"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nil"/>
              <w:right w:val="nil"/>
            </w:tcBorders>
            <w:shd w:val="clear" w:color="auto" w:fill="auto"/>
            <w:noWrap/>
            <w:vAlign w:val="bottom"/>
            <w:hideMark/>
          </w:tcPr>
          <w:p w14:paraId="5142E4A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206.438</w:t>
            </w:r>
          </w:p>
        </w:tc>
      </w:tr>
      <w:tr w:rsidR="00363E89" w:rsidRPr="00005C17" w14:paraId="5142E4AF"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4AA"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 xml:space="preserve">Σύνολο </w:t>
            </w:r>
            <w:proofErr w:type="spellStart"/>
            <w:r w:rsidRPr="007A6EC1">
              <w:rPr>
                <w:rFonts w:ascii="Calibri" w:hAnsi="Calibri" w:cs="Calibri"/>
                <w:b/>
                <w:bCs/>
                <w:sz w:val="21"/>
                <w:szCs w:val="21"/>
                <w:lang w:val="el-GR"/>
              </w:rPr>
              <w:t>κυκλοφορούντων</w:t>
            </w:r>
            <w:proofErr w:type="spellEnd"/>
            <w:r w:rsidRPr="007A6EC1">
              <w:rPr>
                <w:rFonts w:ascii="Calibri" w:hAnsi="Calibri" w:cs="Calibri"/>
                <w:b/>
                <w:bCs/>
                <w:sz w:val="21"/>
                <w:szCs w:val="21"/>
                <w:lang w:val="el-GR"/>
              </w:rPr>
              <w:t xml:space="preserve"> περιουσιακών στοιχείων</w:t>
            </w:r>
          </w:p>
        </w:tc>
        <w:tc>
          <w:tcPr>
            <w:tcW w:w="283" w:type="dxa"/>
            <w:tcBorders>
              <w:top w:val="nil"/>
              <w:left w:val="nil"/>
              <w:bottom w:val="nil"/>
              <w:right w:val="nil"/>
            </w:tcBorders>
            <w:shd w:val="clear" w:color="auto" w:fill="auto"/>
            <w:noWrap/>
            <w:vAlign w:val="bottom"/>
            <w:hideMark/>
          </w:tcPr>
          <w:p w14:paraId="5142E4AB"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4AC"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605.787</w:t>
            </w:r>
          </w:p>
        </w:tc>
        <w:tc>
          <w:tcPr>
            <w:tcW w:w="283" w:type="dxa"/>
            <w:tcBorders>
              <w:top w:val="nil"/>
              <w:left w:val="nil"/>
              <w:bottom w:val="nil"/>
              <w:right w:val="nil"/>
            </w:tcBorders>
            <w:shd w:val="clear" w:color="auto" w:fill="auto"/>
            <w:noWrap/>
            <w:vAlign w:val="bottom"/>
            <w:hideMark/>
          </w:tcPr>
          <w:p w14:paraId="5142E4AD"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4AE"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665.619</w:t>
            </w:r>
          </w:p>
        </w:tc>
      </w:tr>
      <w:tr w:rsidR="00363E89" w:rsidRPr="00005C17" w14:paraId="5142E4B5" w14:textId="77777777" w:rsidTr="006623D7">
        <w:trPr>
          <w:trHeight w:val="276"/>
        </w:trPr>
        <w:tc>
          <w:tcPr>
            <w:tcW w:w="6521" w:type="dxa"/>
            <w:tcBorders>
              <w:top w:val="nil"/>
              <w:left w:val="nil"/>
              <w:bottom w:val="nil"/>
              <w:right w:val="nil"/>
            </w:tcBorders>
            <w:shd w:val="clear" w:color="auto" w:fill="auto"/>
            <w:noWrap/>
            <w:vAlign w:val="bottom"/>
            <w:hideMark/>
          </w:tcPr>
          <w:p w14:paraId="5142E4B0"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4B1"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noWrap/>
            <w:vAlign w:val="bottom"/>
            <w:hideMark/>
          </w:tcPr>
          <w:p w14:paraId="5142E4B2" w14:textId="77777777" w:rsidR="00363E89" w:rsidRPr="007A6EC1" w:rsidRDefault="00363E89" w:rsidP="006623D7">
            <w:pPr>
              <w:jc w:val="right"/>
              <w:rPr>
                <w:sz w:val="20"/>
                <w:szCs w:val="20"/>
                <w:lang w:val="el-GR"/>
              </w:rPr>
            </w:pPr>
          </w:p>
        </w:tc>
        <w:tc>
          <w:tcPr>
            <w:tcW w:w="283" w:type="dxa"/>
            <w:tcBorders>
              <w:top w:val="nil"/>
              <w:left w:val="nil"/>
              <w:bottom w:val="nil"/>
              <w:right w:val="nil"/>
            </w:tcBorders>
            <w:shd w:val="clear" w:color="auto" w:fill="auto"/>
            <w:noWrap/>
            <w:vAlign w:val="bottom"/>
            <w:hideMark/>
          </w:tcPr>
          <w:p w14:paraId="5142E4B3" w14:textId="77777777" w:rsidR="00363E89" w:rsidRPr="007A6EC1" w:rsidRDefault="00363E89" w:rsidP="006623D7">
            <w:pPr>
              <w:jc w:val="right"/>
              <w:rPr>
                <w:sz w:val="20"/>
                <w:szCs w:val="20"/>
                <w:lang w:val="el-GR"/>
              </w:rPr>
            </w:pPr>
          </w:p>
        </w:tc>
        <w:tc>
          <w:tcPr>
            <w:tcW w:w="1418" w:type="dxa"/>
            <w:tcBorders>
              <w:top w:val="nil"/>
              <w:left w:val="nil"/>
              <w:bottom w:val="nil"/>
              <w:right w:val="nil"/>
            </w:tcBorders>
            <w:shd w:val="clear" w:color="auto" w:fill="auto"/>
            <w:noWrap/>
            <w:vAlign w:val="bottom"/>
            <w:hideMark/>
          </w:tcPr>
          <w:p w14:paraId="5142E4B4" w14:textId="77777777" w:rsidR="00363E89" w:rsidRPr="007A6EC1" w:rsidRDefault="00363E89" w:rsidP="006623D7">
            <w:pPr>
              <w:jc w:val="right"/>
              <w:rPr>
                <w:sz w:val="20"/>
                <w:szCs w:val="20"/>
                <w:lang w:val="el-GR"/>
              </w:rPr>
            </w:pPr>
          </w:p>
        </w:tc>
      </w:tr>
      <w:tr w:rsidR="00363E89" w:rsidRPr="00005C17" w14:paraId="5142E4BB" w14:textId="77777777" w:rsidTr="006623D7">
        <w:trPr>
          <w:trHeight w:val="290"/>
        </w:trPr>
        <w:tc>
          <w:tcPr>
            <w:tcW w:w="6521" w:type="dxa"/>
            <w:tcBorders>
              <w:top w:val="single" w:sz="4" w:space="0" w:color="auto"/>
              <w:left w:val="nil"/>
              <w:bottom w:val="single" w:sz="4" w:space="0" w:color="auto"/>
              <w:right w:val="nil"/>
            </w:tcBorders>
            <w:shd w:val="clear" w:color="auto" w:fill="auto"/>
            <w:noWrap/>
            <w:vAlign w:val="bottom"/>
            <w:hideMark/>
          </w:tcPr>
          <w:p w14:paraId="5142E4B6"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Μη </w:t>
            </w:r>
            <w:proofErr w:type="spellStart"/>
            <w:r w:rsidRPr="007A6EC1">
              <w:rPr>
                <w:rFonts w:ascii="Calibri" w:hAnsi="Calibri" w:cs="Calibri"/>
                <w:sz w:val="21"/>
                <w:szCs w:val="21"/>
                <w:lang w:val="el-GR"/>
              </w:rPr>
              <w:t>κυκλοφορούντα</w:t>
            </w:r>
            <w:proofErr w:type="spellEnd"/>
            <w:r w:rsidRPr="007A6EC1">
              <w:rPr>
                <w:rFonts w:ascii="Calibri" w:hAnsi="Calibri" w:cs="Calibri"/>
                <w:sz w:val="21"/>
                <w:szCs w:val="21"/>
                <w:lang w:val="el-GR"/>
              </w:rPr>
              <w:t xml:space="preserve"> περιουσιακά στοιχεία που κατέχονται προς πώληση</w:t>
            </w:r>
          </w:p>
        </w:tc>
        <w:tc>
          <w:tcPr>
            <w:tcW w:w="283" w:type="dxa"/>
            <w:tcBorders>
              <w:top w:val="nil"/>
              <w:left w:val="nil"/>
              <w:bottom w:val="nil"/>
              <w:right w:val="nil"/>
            </w:tcBorders>
            <w:shd w:val="clear" w:color="auto" w:fill="auto"/>
            <w:noWrap/>
            <w:vAlign w:val="bottom"/>
            <w:hideMark/>
          </w:tcPr>
          <w:p w14:paraId="5142E4B7" w14:textId="77777777" w:rsidR="00363E89" w:rsidRPr="007A6EC1" w:rsidRDefault="00363E89" w:rsidP="006623D7">
            <w:pPr>
              <w:rPr>
                <w:rFonts w:ascii="Calibri" w:hAnsi="Calibri" w:cs="Calibri"/>
                <w:sz w:val="21"/>
                <w:szCs w:val="21"/>
                <w:lang w:val="el-GR"/>
              </w:rPr>
            </w:pPr>
          </w:p>
        </w:tc>
        <w:tc>
          <w:tcPr>
            <w:tcW w:w="1560" w:type="dxa"/>
            <w:tcBorders>
              <w:top w:val="single" w:sz="4" w:space="0" w:color="auto"/>
              <w:left w:val="nil"/>
              <w:bottom w:val="single" w:sz="4" w:space="0" w:color="auto"/>
              <w:right w:val="nil"/>
            </w:tcBorders>
            <w:shd w:val="clear" w:color="000000" w:fill="F2F2F2"/>
            <w:noWrap/>
            <w:vAlign w:val="bottom"/>
            <w:hideMark/>
          </w:tcPr>
          <w:p w14:paraId="5142E4B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1.281</w:t>
            </w:r>
          </w:p>
        </w:tc>
        <w:tc>
          <w:tcPr>
            <w:tcW w:w="283" w:type="dxa"/>
            <w:tcBorders>
              <w:top w:val="nil"/>
              <w:left w:val="nil"/>
              <w:bottom w:val="nil"/>
              <w:right w:val="nil"/>
            </w:tcBorders>
            <w:shd w:val="clear" w:color="auto" w:fill="auto"/>
            <w:noWrap/>
            <w:vAlign w:val="bottom"/>
            <w:hideMark/>
          </w:tcPr>
          <w:p w14:paraId="5142E4B9" w14:textId="77777777" w:rsidR="00363E89" w:rsidRPr="007A6EC1" w:rsidRDefault="00363E89" w:rsidP="006623D7">
            <w:pPr>
              <w:jc w:val="right"/>
              <w:rPr>
                <w:rFonts w:ascii="Calibri" w:hAnsi="Calibri" w:cs="Calibri"/>
                <w:sz w:val="21"/>
                <w:szCs w:val="21"/>
                <w:lang w:val="el-GR"/>
              </w:rPr>
            </w:pPr>
          </w:p>
        </w:tc>
        <w:tc>
          <w:tcPr>
            <w:tcW w:w="1418" w:type="dxa"/>
            <w:tcBorders>
              <w:top w:val="single" w:sz="4" w:space="0" w:color="auto"/>
              <w:left w:val="nil"/>
              <w:bottom w:val="single" w:sz="4" w:space="0" w:color="auto"/>
              <w:right w:val="nil"/>
            </w:tcBorders>
            <w:shd w:val="clear" w:color="auto" w:fill="auto"/>
            <w:noWrap/>
            <w:vAlign w:val="bottom"/>
            <w:hideMark/>
          </w:tcPr>
          <w:p w14:paraId="5142E4B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w:t>
            </w:r>
          </w:p>
        </w:tc>
      </w:tr>
      <w:tr w:rsidR="00363E89" w:rsidRPr="00005C17" w14:paraId="5142E4C1" w14:textId="77777777" w:rsidTr="006623D7">
        <w:trPr>
          <w:trHeight w:val="276"/>
        </w:trPr>
        <w:tc>
          <w:tcPr>
            <w:tcW w:w="6521" w:type="dxa"/>
            <w:tcBorders>
              <w:top w:val="nil"/>
              <w:left w:val="nil"/>
              <w:bottom w:val="nil"/>
              <w:right w:val="nil"/>
            </w:tcBorders>
            <w:shd w:val="clear" w:color="auto" w:fill="auto"/>
            <w:noWrap/>
            <w:vAlign w:val="bottom"/>
            <w:hideMark/>
          </w:tcPr>
          <w:p w14:paraId="5142E4BC" w14:textId="77777777" w:rsidR="00363E89" w:rsidRPr="007A6EC1" w:rsidRDefault="00363E89" w:rsidP="006623D7">
            <w:pPr>
              <w:jc w:val="right"/>
              <w:rPr>
                <w:rFonts w:ascii="Calibri" w:hAnsi="Calibri" w:cs="Calibri"/>
                <w:sz w:val="21"/>
                <w:szCs w:val="21"/>
                <w:lang w:val="el-GR"/>
              </w:rPr>
            </w:pPr>
          </w:p>
        </w:tc>
        <w:tc>
          <w:tcPr>
            <w:tcW w:w="283" w:type="dxa"/>
            <w:tcBorders>
              <w:top w:val="nil"/>
              <w:left w:val="nil"/>
              <w:bottom w:val="nil"/>
              <w:right w:val="nil"/>
            </w:tcBorders>
            <w:shd w:val="clear" w:color="auto" w:fill="auto"/>
            <w:noWrap/>
            <w:vAlign w:val="bottom"/>
            <w:hideMark/>
          </w:tcPr>
          <w:p w14:paraId="5142E4BD"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noWrap/>
            <w:vAlign w:val="bottom"/>
            <w:hideMark/>
          </w:tcPr>
          <w:p w14:paraId="5142E4BE" w14:textId="77777777" w:rsidR="00363E89" w:rsidRPr="007A6EC1" w:rsidRDefault="00363E89" w:rsidP="006623D7">
            <w:pPr>
              <w:jc w:val="right"/>
              <w:rPr>
                <w:sz w:val="20"/>
                <w:szCs w:val="20"/>
                <w:lang w:val="el-GR"/>
              </w:rPr>
            </w:pPr>
          </w:p>
        </w:tc>
        <w:tc>
          <w:tcPr>
            <w:tcW w:w="283" w:type="dxa"/>
            <w:tcBorders>
              <w:top w:val="nil"/>
              <w:left w:val="nil"/>
              <w:bottom w:val="nil"/>
              <w:right w:val="nil"/>
            </w:tcBorders>
            <w:shd w:val="clear" w:color="auto" w:fill="auto"/>
            <w:noWrap/>
            <w:vAlign w:val="bottom"/>
            <w:hideMark/>
          </w:tcPr>
          <w:p w14:paraId="5142E4BF" w14:textId="77777777" w:rsidR="00363E89" w:rsidRPr="007A6EC1" w:rsidRDefault="00363E89" w:rsidP="006623D7">
            <w:pPr>
              <w:jc w:val="right"/>
              <w:rPr>
                <w:sz w:val="20"/>
                <w:szCs w:val="20"/>
                <w:lang w:val="el-GR"/>
              </w:rPr>
            </w:pPr>
          </w:p>
        </w:tc>
        <w:tc>
          <w:tcPr>
            <w:tcW w:w="1418" w:type="dxa"/>
            <w:tcBorders>
              <w:top w:val="nil"/>
              <w:left w:val="nil"/>
              <w:bottom w:val="nil"/>
              <w:right w:val="nil"/>
            </w:tcBorders>
            <w:shd w:val="clear" w:color="auto" w:fill="auto"/>
            <w:noWrap/>
            <w:vAlign w:val="bottom"/>
            <w:hideMark/>
          </w:tcPr>
          <w:p w14:paraId="5142E4C0" w14:textId="77777777" w:rsidR="00363E89" w:rsidRPr="007A6EC1" w:rsidRDefault="00363E89" w:rsidP="006623D7">
            <w:pPr>
              <w:jc w:val="right"/>
              <w:rPr>
                <w:sz w:val="20"/>
                <w:szCs w:val="20"/>
                <w:lang w:val="el-GR"/>
              </w:rPr>
            </w:pPr>
          </w:p>
        </w:tc>
      </w:tr>
      <w:tr w:rsidR="00363E89" w:rsidRPr="00005C17" w14:paraId="5142E4C7" w14:textId="77777777" w:rsidTr="006623D7">
        <w:trPr>
          <w:trHeight w:val="290"/>
        </w:trPr>
        <w:tc>
          <w:tcPr>
            <w:tcW w:w="6521" w:type="dxa"/>
            <w:tcBorders>
              <w:top w:val="single" w:sz="4" w:space="0" w:color="auto"/>
              <w:left w:val="nil"/>
              <w:bottom w:val="single" w:sz="4" w:space="0" w:color="4F81BD"/>
              <w:right w:val="nil"/>
            </w:tcBorders>
            <w:shd w:val="clear" w:color="auto" w:fill="auto"/>
            <w:noWrap/>
            <w:vAlign w:val="bottom"/>
            <w:hideMark/>
          </w:tcPr>
          <w:p w14:paraId="5142E4C2"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Ενεργητικού</w:t>
            </w:r>
          </w:p>
        </w:tc>
        <w:tc>
          <w:tcPr>
            <w:tcW w:w="283" w:type="dxa"/>
            <w:tcBorders>
              <w:top w:val="nil"/>
              <w:left w:val="nil"/>
              <w:bottom w:val="nil"/>
              <w:right w:val="nil"/>
            </w:tcBorders>
            <w:shd w:val="clear" w:color="auto" w:fill="auto"/>
            <w:noWrap/>
            <w:vAlign w:val="bottom"/>
            <w:hideMark/>
          </w:tcPr>
          <w:p w14:paraId="5142E4C3"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auto"/>
              <w:left w:val="nil"/>
              <w:bottom w:val="single" w:sz="4" w:space="0" w:color="4F81BD"/>
              <w:right w:val="nil"/>
            </w:tcBorders>
            <w:shd w:val="clear" w:color="000000" w:fill="F2F2F2"/>
            <w:noWrap/>
            <w:vAlign w:val="bottom"/>
            <w:hideMark/>
          </w:tcPr>
          <w:p w14:paraId="5142E4C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2.628.357</w:t>
            </w:r>
          </w:p>
        </w:tc>
        <w:tc>
          <w:tcPr>
            <w:tcW w:w="283" w:type="dxa"/>
            <w:tcBorders>
              <w:top w:val="nil"/>
              <w:left w:val="nil"/>
              <w:bottom w:val="nil"/>
              <w:right w:val="nil"/>
            </w:tcBorders>
            <w:shd w:val="clear" w:color="auto" w:fill="auto"/>
            <w:noWrap/>
            <w:vAlign w:val="bottom"/>
            <w:hideMark/>
          </w:tcPr>
          <w:p w14:paraId="5142E4C5"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auto"/>
              <w:left w:val="nil"/>
              <w:bottom w:val="single" w:sz="4" w:space="0" w:color="4F81BD"/>
              <w:right w:val="nil"/>
            </w:tcBorders>
            <w:shd w:val="clear" w:color="auto" w:fill="auto"/>
            <w:noWrap/>
            <w:vAlign w:val="bottom"/>
            <w:hideMark/>
          </w:tcPr>
          <w:p w14:paraId="5142E4C6"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2.678.933</w:t>
            </w:r>
          </w:p>
        </w:tc>
      </w:tr>
      <w:tr w:rsidR="00363E89" w:rsidRPr="00005C17" w14:paraId="5142E4CD" w14:textId="77777777" w:rsidTr="006623D7">
        <w:trPr>
          <w:trHeight w:val="290"/>
        </w:trPr>
        <w:tc>
          <w:tcPr>
            <w:tcW w:w="6521" w:type="dxa"/>
            <w:tcBorders>
              <w:top w:val="nil"/>
              <w:left w:val="nil"/>
              <w:bottom w:val="nil"/>
              <w:right w:val="nil"/>
            </w:tcBorders>
            <w:shd w:val="clear" w:color="auto" w:fill="auto"/>
            <w:noWrap/>
            <w:vAlign w:val="bottom"/>
            <w:hideMark/>
          </w:tcPr>
          <w:p w14:paraId="5142E4C8"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4C9"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noWrap/>
            <w:vAlign w:val="bottom"/>
            <w:hideMark/>
          </w:tcPr>
          <w:p w14:paraId="5142E4CA" w14:textId="77777777" w:rsidR="00363E89" w:rsidRPr="007A6EC1" w:rsidRDefault="00363E89" w:rsidP="006623D7">
            <w:pPr>
              <w:jc w:val="right"/>
              <w:rPr>
                <w:sz w:val="20"/>
                <w:szCs w:val="20"/>
                <w:lang w:val="el-GR"/>
              </w:rPr>
            </w:pPr>
          </w:p>
        </w:tc>
        <w:tc>
          <w:tcPr>
            <w:tcW w:w="283" w:type="dxa"/>
            <w:tcBorders>
              <w:top w:val="nil"/>
              <w:left w:val="nil"/>
              <w:bottom w:val="nil"/>
              <w:right w:val="nil"/>
            </w:tcBorders>
            <w:shd w:val="clear" w:color="auto" w:fill="auto"/>
            <w:noWrap/>
            <w:vAlign w:val="bottom"/>
            <w:hideMark/>
          </w:tcPr>
          <w:p w14:paraId="5142E4CB" w14:textId="77777777" w:rsidR="00363E89" w:rsidRPr="007A6EC1" w:rsidRDefault="00363E89" w:rsidP="006623D7">
            <w:pPr>
              <w:jc w:val="right"/>
              <w:rPr>
                <w:sz w:val="20"/>
                <w:szCs w:val="20"/>
                <w:lang w:val="el-GR"/>
              </w:rPr>
            </w:pPr>
          </w:p>
        </w:tc>
        <w:tc>
          <w:tcPr>
            <w:tcW w:w="1418" w:type="dxa"/>
            <w:tcBorders>
              <w:top w:val="nil"/>
              <w:left w:val="nil"/>
              <w:bottom w:val="nil"/>
              <w:right w:val="nil"/>
            </w:tcBorders>
            <w:shd w:val="clear" w:color="auto" w:fill="auto"/>
            <w:noWrap/>
            <w:vAlign w:val="bottom"/>
            <w:hideMark/>
          </w:tcPr>
          <w:p w14:paraId="5142E4CC" w14:textId="77777777" w:rsidR="00363E89" w:rsidRPr="007A6EC1" w:rsidRDefault="00363E89" w:rsidP="006623D7">
            <w:pPr>
              <w:jc w:val="right"/>
              <w:rPr>
                <w:sz w:val="20"/>
                <w:szCs w:val="20"/>
                <w:lang w:val="el-GR"/>
              </w:rPr>
            </w:pPr>
          </w:p>
        </w:tc>
      </w:tr>
      <w:tr w:rsidR="00363E89" w:rsidRPr="00005C17" w14:paraId="5142E4D3" w14:textId="77777777" w:rsidTr="006623D7">
        <w:trPr>
          <w:trHeight w:val="305"/>
        </w:trPr>
        <w:tc>
          <w:tcPr>
            <w:tcW w:w="6521" w:type="dxa"/>
            <w:tcBorders>
              <w:top w:val="nil"/>
              <w:left w:val="nil"/>
              <w:bottom w:val="nil"/>
              <w:right w:val="nil"/>
            </w:tcBorders>
            <w:shd w:val="clear" w:color="auto" w:fill="auto"/>
            <w:noWrap/>
            <w:vAlign w:val="bottom"/>
            <w:hideMark/>
          </w:tcPr>
          <w:p w14:paraId="5142E4CE" w14:textId="77777777" w:rsidR="00363E89" w:rsidRPr="007A6EC1" w:rsidRDefault="00363E89" w:rsidP="006623D7">
            <w:pPr>
              <w:rPr>
                <w:rFonts w:ascii="Calibri" w:hAnsi="Calibri" w:cs="Calibri"/>
                <w:b/>
                <w:bCs/>
                <w:color w:val="4F81BD"/>
                <w:lang w:val="el-GR"/>
              </w:rPr>
            </w:pPr>
            <w:r w:rsidRPr="007A6EC1">
              <w:rPr>
                <w:rFonts w:ascii="Calibri" w:hAnsi="Calibri" w:cs="Calibri"/>
                <w:b/>
                <w:bCs/>
                <w:color w:val="4F81BD"/>
                <w:lang w:val="el-GR"/>
              </w:rPr>
              <w:t>Ίδια Κεφάλαια και Υποχρεώσεις</w:t>
            </w:r>
          </w:p>
        </w:tc>
        <w:tc>
          <w:tcPr>
            <w:tcW w:w="283" w:type="dxa"/>
            <w:tcBorders>
              <w:top w:val="nil"/>
              <w:left w:val="nil"/>
              <w:bottom w:val="nil"/>
              <w:right w:val="nil"/>
            </w:tcBorders>
            <w:shd w:val="clear" w:color="000000" w:fill="FFFFFF"/>
            <w:noWrap/>
            <w:vAlign w:val="bottom"/>
            <w:hideMark/>
          </w:tcPr>
          <w:p w14:paraId="5142E4CF" w14:textId="77777777" w:rsidR="00363E89" w:rsidRPr="007A6EC1" w:rsidRDefault="00363E89" w:rsidP="006623D7">
            <w:pPr>
              <w:jc w:val="right"/>
              <w:rPr>
                <w:rFonts w:ascii="Calibri" w:hAnsi="Calibri" w:cs="Calibri"/>
                <w:b/>
                <w:bCs/>
                <w:color w:val="575756"/>
                <w:sz w:val="17"/>
                <w:szCs w:val="17"/>
                <w:lang w:val="el-GR"/>
              </w:rPr>
            </w:pPr>
            <w:r w:rsidRPr="007A6EC1">
              <w:rPr>
                <w:rFonts w:ascii="Calibri" w:hAnsi="Calibri" w:cs="Calibri"/>
                <w:b/>
                <w:bCs/>
                <w:color w:val="575756"/>
                <w:sz w:val="17"/>
                <w:szCs w:val="17"/>
                <w:lang w:val="el-GR"/>
              </w:rPr>
              <w:t> </w:t>
            </w:r>
          </w:p>
        </w:tc>
        <w:tc>
          <w:tcPr>
            <w:tcW w:w="1560" w:type="dxa"/>
            <w:tcBorders>
              <w:top w:val="nil"/>
              <w:left w:val="nil"/>
              <w:bottom w:val="nil"/>
              <w:right w:val="nil"/>
            </w:tcBorders>
            <w:shd w:val="clear" w:color="auto" w:fill="auto"/>
            <w:noWrap/>
            <w:vAlign w:val="bottom"/>
            <w:hideMark/>
          </w:tcPr>
          <w:p w14:paraId="5142E4D0" w14:textId="77777777" w:rsidR="00363E89" w:rsidRPr="007A6EC1" w:rsidRDefault="00363E89" w:rsidP="006623D7">
            <w:pPr>
              <w:jc w:val="right"/>
              <w:rPr>
                <w:rFonts w:ascii="Calibri" w:hAnsi="Calibri" w:cs="Calibri"/>
                <w:b/>
                <w:bCs/>
                <w:color w:val="575756"/>
                <w:sz w:val="17"/>
                <w:szCs w:val="17"/>
                <w:lang w:val="el-GR"/>
              </w:rPr>
            </w:pPr>
          </w:p>
        </w:tc>
        <w:tc>
          <w:tcPr>
            <w:tcW w:w="283" w:type="dxa"/>
            <w:tcBorders>
              <w:top w:val="nil"/>
              <w:left w:val="nil"/>
              <w:bottom w:val="nil"/>
              <w:right w:val="nil"/>
            </w:tcBorders>
            <w:shd w:val="clear" w:color="000000" w:fill="FFFFFF"/>
            <w:noWrap/>
            <w:vAlign w:val="bottom"/>
            <w:hideMark/>
          </w:tcPr>
          <w:p w14:paraId="5142E4D1" w14:textId="77777777" w:rsidR="00363E89" w:rsidRPr="007A6EC1" w:rsidRDefault="00363E89" w:rsidP="006623D7">
            <w:pPr>
              <w:jc w:val="right"/>
              <w:rPr>
                <w:rFonts w:ascii="Calibri" w:hAnsi="Calibri" w:cs="Calibri"/>
                <w:b/>
                <w:bCs/>
                <w:color w:val="575756"/>
                <w:sz w:val="22"/>
                <w:szCs w:val="22"/>
                <w:lang w:val="el-GR"/>
              </w:rPr>
            </w:pPr>
            <w:r w:rsidRPr="007A6EC1">
              <w:rPr>
                <w:rFonts w:ascii="Calibri" w:hAnsi="Calibri" w:cs="Calibri"/>
                <w:b/>
                <w:bCs/>
                <w:color w:val="575756"/>
                <w:sz w:val="22"/>
                <w:szCs w:val="22"/>
                <w:lang w:val="el-GR"/>
              </w:rPr>
              <w:t> </w:t>
            </w:r>
          </w:p>
        </w:tc>
        <w:tc>
          <w:tcPr>
            <w:tcW w:w="1418" w:type="dxa"/>
            <w:tcBorders>
              <w:top w:val="nil"/>
              <w:left w:val="nil"/>
              <w:bottom w:val="nil"/>
              <w:right w:val="nil"/>
            </w:tcBorders>
            <w:shd w:val="clear" w:color="auto" w:fill="auto"/>
            <w:noWrap/>
            <w:vAlign w:val="bottom"/>
            <w:hideMark/>
          </w:tcPr>
          <w:p w14:paraId="5142E4D2" w14:textId="77777777" w:rsidR="00363E89" w:rsidRPr="007A6EC1" w:rsidRDefault="00363E89" w:rsidP="006623D7">
            <w:pPr>
              <w:jc w:val="right"/>
              <w:rPr>
                <w:rFonts w:ascii="Calibri" w:hAnsi="Calibri" w:cs="Calibri"/>
                <w:b/>
                <w:bCs/>
                <w:color w:val="575756"/>
                <w:sz w:val="22"/>
                <w:szCs w:val="22"/>
                <w:lang w:val="el-GR"/>
              </w:rPr>
            </w:pPr>
          </w:p>
        </w:tc>
      </w:tr>
      <w:tr w:rsidR="00363E89" w:rsidRPr="00005C17" w14:paraId="5142E4D9" w14:textId="77777777" w:rsidTr="006623D7">
        <w:trPr>
          <w:trHeight w:val="290"/>
        </w:trPr>
        <w:tc>
          <w:tcPr>
            <w:tcW w:w="6521" w:type="dxa"/>
            <w:tcBorders>
              <w:top w:val="single" w:sz="4" w:space="0" w:color="4F81BD"/>
              <w:left w:val="nil"/>
              <w:bottom w:val="single" w:sz="4" w:space="0" w:color="000000"/>
              <w:right w:val="nil"/>
            </w:tcBorders>
            <w:shd w:val="clear" w:color="auto" w:fill="auto"/>
            <w:noWrap/>
            <w:vAlign w:val="bottom"/>
            <w:hideMark/>
          </w:tcPr>
          <w:p w14:paraId="5142E4D4"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Σύνολο ιδίων κεφαλαίων και αποθεματικών που αναλογούν σε μετόχους της μητρικής Εταιρίας</w:t>
            </w:r>
          </w:p>
        </w:tc>
        <w:tc>
          <w:tcPr>
            <w:tcW w:w="283" w:type="dxa"/>
            <w:tcBorders>
              <w:top w:val="nil"/>
              <w:left w:val="nil"/>
              <w:bottom w:val="nil"/>
              <w:right w:val="nil"/>
            </w:tcBorders>
            <w:shd w:val="clear" w:color="auto" w:fill="auto"/>
            <w:noWrap/>
            <w:vAlign w:val="bottom"/>
            <w:hideMark/>
          </w:tcPr>
          <w:p w14:paraId="5142E4D5" w14:textId="77777777" w:rsidR="00363E89" w:rsidRPr="007A6EC1" w:rsidRDefault="00363E89" w:rsidP="006623D7">
            <w:pPr>
              <w:rPr>
                <w:rFonts w:ascii="Calibri" w:hAnsi="Calibri" w:cs="Calibri"/>
                <w:sz w:val="21"/>
                <w:szCs w:val="21"/>
                <w:lang w:val="el-GR"/>
              </w:rPr>
            </w:pPr>
          </w:p>
        </w:tc>
        <w:tc>
          <w:tcPr>
            <w:tcW w:w="1560" w:type="dxa"/>
            <w:tcBorders>
              <w:top w:val="single" w:sz="4" w:space="0" w:color="4F81BD"/>
              <w:left w:val="nil"/>
              <w:bottom w:val="single" w:sz="4" w:space="0" w:color="000000"/>
              <w:right w:val="nil"/>
            </w:tcBorders>
            <w:shd w:val="clear" w:color="000000" w:fill="F2F2F2"/>
            <w:noWrap/>
            <w:vAlign w:val="bottom"/>
            <w:hideMark/>
          </w:tcPr>
          <w:p w14:paraId="5142E4D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1.274.269</w:t>
            </w:r>
          </w:p>
        </w:tc>
        <w:tc>
          <w:tcPr>
            <w:tcW w:w="283" w:type="dxa"/>
            <w:tcBorders>
              <w:top w:val="nil"/>
              <w:left w:val="nil"/>
              <w:bottom w:val="nil"/>
              <w:right w:val="nil"/>
            </w:tcBorders>
            <w:shd w:val="clear" w:color="auto" w:fill="auto"/>
            <w:noWrap/>
            <w:vAlign w:val="bottom"/>
            <w:hideMark/>
          </w:tcPr>
          <w:p w14:paraId="5142E4D7" w14:textId="77777777" w:rsidR="00363E89" w:rsidRPr="007A6EC1" w:rsidRDefault="00363E89" w:rsidP="006623D7">
            <w:pPr>
              <w:jc w:val="right"/>
              <w:rPr>
                <w:rFonts w:ascii="Calibri" w:hAnsi="Calibri" w:cs="Calibri"/>
                <w:sz w:val="21"/>
                <w:szCs w:val="21"/>
                <w:lang w:val="el-GR"/>
              </w:rPr>
            </w:pPr>
          </w:p>
        </w:tc>
        <w:tc>
          <w:tcPr>
            <w:tcW w:w="1418" w:type="dxa"/>
            <w:tcBorders>
              <w:top w:val="single" w:sz="4" w:space="0" w:color="4F81BD"/>
              <w:left w:val="nil"/>
              <w:bottom w:val="single" w:sz="4" w:space="0" w:color="000000"/>
              <w:right w:val="nil"/>
            </w:tcBorders>
            <w:shd w:val="clear" w:color="auto" w:fill="auto"/>
            <w:noWrap/>
            <w:vAlign w:val="bottom"/>
            <w:hideMark/>
          </w:tcPr>
          <w:p w14:paraId="5142E4D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1.242.693</w:t>
            </w:r>
          </w:p>
        </w:tc>
      </w:tr>
      <w:tr w:rsidR="00363E89" w:rsidRPr="00005C17" w14:paraId="5142E4DF" w14:textId="77777777" w:rsidTr="006623D7">
        <w:trPr>
          <w:trHeight w:val="290"/>
        </w:trPr>
        <w:tc>
          <w:tcPr>
            <w:tcW w:w="6521" w:type="dxa"/>
            <w:tcBorders>
              <w:top w:val="nil"/>
              <w:left w:val="nil"/>
              <w:bottom w:val="nil"/>
              <w:right w:val="nil"/>
            </w:tcBorders>
            <w:shd w:val="clear" w:color="000000" w:fill="FFFFFF"/>
            <w:noWrap/>
            <w:vAlign w:val="bottom"/>
            <w:hideMark/>
          </w:tcPr>
          <w:p w14:paraId="5142E4DA"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Μη </w:t>
            </w:r>
            <w:proofErr w:type="spellStart"/>
            <w:r w:rsidRPr="007A6EC1">
              <w:rPr>
                <w:rFonts w:ascii="Calibri" w:hAnsi="Calibri" w:cs="Calibri"/>
                <w:sz w:val="21"/>
                <w:szCs w:val="21"/>
                <w:lang w:val="el-GR"/>
              </w:rPr>
              <w:t>ελέγχουσες</w:t>
            </w:r>
            <w:proofErr w:type="spellEnd"/>
            <w:r w:rsidRPr="007A6EC1">
              <w:rPr>
                <w:rFonts w:ascii="Calibri" w:hAnsi="Calibri" w:cs="Calibri"/>
                <w:sz w:val="21"/>
                <w:szCs w:val="21"/>
                <w:lang w:val="el-GR"/>
              </w:rPr>
              <w:t xml:space="preserve"> συμμετοχές</w:t>
            </w:r>
          </w:p>
        </w:tc>
        <w:tc>
          <w:tcPr>
            <w:tcW w:w="283" w:type="dxa"/>
            <w:tcBorders>
              <w:top w:val="nil"/>
              <w:left w:val="nil"/>
              <w:bottom w:val="nil"/>
              <w:right w:val="nil"/>
            </w:tcBorders>
            <w:shd w:val="clear" w:color="000000" w:fill="FFFFFF"/>
            <w:noWrap/>
            <w:vAlign w:val="bottom"/>
            <w:hideMark/>
          </w:tcPr>
          <w:p w14:paraId="5142E4DB"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560" w:type="dxa"/>
            <w:tcBorders>
              <w:top w:val="nil"/>
              <w:left w:val="nil"/>
              <w:bottom w:val="nil"/>
              <w:right w:val="nil"/>
            </w:tcBorders>
            <w:shd w:val="clear" w:color="000000" w:fill="F2F2F2"/>
            <w:noWrap/>
            <w:vAlign w:val="bottom"/>
            <w:hideMark/>
          </w:tcPr>
          <w:p w14:paraId="5142E4D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21.278</w:t>
            </w:r>
          </w:p>
        </w:tc>
        <w:tc>
          <w:tcPr>
            <w:tcW w:w="283" w:type="dxa"/>
            <w:tcBorders>
              <w:top w:val="nil"/>
              <w:left w:val="nil"/>
              <w:bottom w:val="nil"/>
              <w:right w:val="nil"/>
            </w:tcBorders>
            <w:shd w:val="clear" w:color="000000" w:fill="FFFFFF"/>
            <w:noWrap/>
            <w:vAlign w:val="bottom"/>
            <w:hideMark/>
          </w:tcPr>
          <w:p w14:paraId="5142E4DD"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418" w:type="dxa"/>
            <w:tcBorders>
              <w:top w:val="nil"/>
              <w:left w:val="nil"/>
              <w:bottom w:val="nil"/>
              <w:right w:val="nil"/>
            </w:tcBorders>
            <w:shd w:val="clear" w:color="auto" w:fill="auto"/>
            <w:noWrap/>
            <w:vAlign w:val="bottom"/>
            <w:hideMark/>
          </w:tcPr>
          <w:p w14:paraId="5142E4D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23.990</w:t>
            </w:r>
          </w:p>
        </w:tc>
      </w:tr>
      <w:tr w:rsidR="00363E89" w:rsidRPr="00005C17" w14:paraId="5142E4E5"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4E0"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Ιδίων Κεφαλαίων (α)</w:t>
            </w:r>
          </w:p>
        </w:tc>
        <w:tc>
          <w:tcPr>
            <w:tcW w:w="283" w:type="dxa"/>
            <w:tcBorders>
              <w:top w:val="nil"/>
              <w:left w:val="nil"/>
              <w:bottom w:val="nil"/>
              <w:right w:val="nil"/>
            </w:tcBorders>
            <w:shd w:val="clear" w:color="auto" w:fill="auto"/>
            <w:noWrap/>
            <w:vAlign w:val="bottom"/>
            <w:hideMark/>
          </w:tcPr>
          <w:p w14:paraId="5142E4E1"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4E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1.295.547</w:t>
            </w:r>
          </w:p>
        </w:tc>
        <w:tc>
          <w:tcPr>
            <w:tcW w:w="283" w:type="dxa"/>
            <w:tcBorders>
              <w:top w:val="nil"/>
              <w:left w:val="nil"/>
              <w:bottom w:val="nil"/>
              <w:right w:val="nil"/>
            </w:tcBorders>
            <w:shd w:val="clear" w:color="auto" w:fill="auto"/>
            <w:noWrap/>
            <w:vAlign w:val="bottom"/>
            <w:hideMark/>
          </w:tcPr>
          <w:p w14:paraId="5142E4E3"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4E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1.266.683</w:t>
            </w:r>
          </w:p>
        </w:tc>
      </w:tr>
      <w:tr w:rsidR="00363E89" w:rsidRPr="00005C17" w14:paraId="5142E4EB" w14:textId="77777777" w:rsidTr="006623D7">
        <w:trPr>
          <w:trHeight w:val="276"/>
        </w:trPr>
        <w:tc>
          <w:tcPr>
            <w:tcW w:w="6521" w:type="dxa"/>
            <w:tcBorders>
              <w:top w:val="nil"/>
              <w:left w:val="nil"/>
              <w:bottom w:val="nil"/>
              <w:right w:val="nil"/>
            </w:tcBorders>
            <w:shd w:val="clear" w:color="auto" w:fill="auto"/>
            <w:noWrap/>
            <w:vAlign w:val="bottom"/>
            <w:hideMark/>
          </w:tcPr>
          <w:p w14:paraId="5142E4E6"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000000" w:fill="FFFFFF"/>
            <w:noWrap/>
            <w:vAlign w:val="bottom"/>
            <w:hideMark/>
          </w:tcPr>
          <w:p w14:paraId="5142E4E7" w14:textId="77777777" w:rsidR="00363E89" w:rsidRPr="007A6EC1" w:rsidRDefault="00363E89" w:rsidP="006623D7">
            <w:pPr>
              <w:jc w:val="right"/>
              <w:rPr>
                <w:rFonts w:ascii="Calibri" w:hAnsi="Calibri" w:cs="Calibri"/>
                <w:color w:val="575756"/>
                <w:sz w:val="21"/>
                <w:szCs w:val="21"/>
                <w:lang w:val="el-GR"/>
              </w:rPr>
            </w:pPr>
            <w:r w:rsidRPr="007A6EC1">
              <w:rPr>
                <w:rFonts w:ascii="Calibri" w:hAnsi="Calibri" w:cs="Calibri"/>
                <w:color w:val="575756"/>
                <w:sz w:val="21"/>
                <w:szCs w:val="21"/>
                <w:lang w:val="el-GR"/>
              </w:rPr>
              <w:t> </w:t>
            </w:r>
          </w:p>
        </w:tc>
        <w:tc>
          <w:tcPr>
            <w:tcW w:w="1560" w:type="dxa"/>
            <w:tcBorders>
              <w:top w:val="nil"/>
              <w:left w:val="nil"/>
              <w:bottom w:val="nil"/>
              <w:right w:val="nil"/>
            </w:tcBorders>
            <w:shd w:val="clear" w:color="auto" w:fill="auto"/>
            <w:noWrap/>
            <w:vAlign w:val="bottom"/>
            <w:hideMark/>
          </w:tcPr>
          <w:p w14:paraId="5142E4E8" w14:textId="77777777" w:rsidR="00363E89" w:rsidRPr="007A6EC1" w:rsidRDefault="00363E89" w:rsidP="006623D7">
            <w:pPr>
              <w:jc w:val="right"/>
              <w:rPr>
                <w:rFonts w:ascii="Calibri" w:hAnsi="Calibri" w:cs="Calibri"/>
                <w:color w:val="575756"/>
                <w:sz w:val="21"/>
                <w:szCs w:val="21"/>
                <w:lang w:val="el-GR"/>
              </w:rPr>
            </w:pPr>
          </w:p>
        </w:tc>
        <w:tc>
          <w:tcPr>
            <w:tcW w:w="283" w:type="dxa"/>
            <w:tcBorders>
              <w:top w:val="nil"/>
              <w:left w:val="nil"/>
              <w:bottom w:val="nil"/>
              <w:right w:val="nil"/>
            </w:tcBorders>
            <w:shd w:val="clear" w:color="000000" w:fill="FFFFFF"/>
            <w:noWrap/>
            <w:vAlign w:val="bottom"/>
            <w:hideMark/>
          </w:tcPr>
          <w:p w14:paraId="5142E4E9" w14:textId="77777777" w:rsidR="00363E89" w:rsidRPr="007A6EC1" w:rsidRDefault="00363E89" w:rsidP="006623D7">
            <w:pPr>
              <w:jc w:val="right"/>
              <w:rPr>
                <w:rFonts w:ascii="Calibri" w:hAnsi="Calibri" w:cs="Calibri"/>
                <w:color w:val="575756"/>
                <w:sz w:val="21"/>
                <w:szCs w:val="21"/>
                <w:lang w:val="el-GR"/>
              </w:rPr>
            </w:pPr>
            <w:r w:rsidRPr="007A6EC1">
              <w:rPr>
                <w:rFonts w:ascii="Calibri" w:hAnsi="Calibri" w:cs="Calibri"/>
                <w:color w:val="575756"/>
                <w:sz w:val="21"/>
                <w:szCs w:val="21"/>
                <w:lang w:val="el-GR"/>
              </w:rPr>
              <w:t> </w:t>
            </w:r>
          </w:p>
        </w:tc>
        <w:tc>
          <w:tcPr>
            <w:tcW w:w="1418" w:type="dxa"/>
            <w:tcBorders>
              <w:top w:val="nil"/>
              <w:left w:val="nil"/>
              <w:bottom w:val="nil"/>
              <w:right w:val="nil"/>
            </w:tcBorders>
            <w:shd w:val="clear" w:color="auto" w:fill="auto"/>
            <w:noWrap/>
            <w:vAlign w:val="bottom"/>
            <w:hideMark/>
          </w:tcPr>
          <w:p w14:paraId="5142E4EA" w14:textId="77777777" w:rsidR="00363E89" w:rsidRPr="007A6EC1" w:rsidRDefault="00363E89" w:rsidP="006623D7">
            <w:pPr>
              <w:jc w:val="right"/>
              <w:rPr>
                <w:rFonts w:ascii="Calibri" w:hAnsi="Calibri" w:cs="Calibri"/>
                <w:color w:val="575756"/>
                <w:sz w:val="21"/>
                <w:szCs w:val="21"/>
                <w:lang w:val="el-GR"/>
              </w:rPr>
            </w:pPr>
          </w:p>
        </w:tc>
      </w:tr>
      <w:tr w:rsidR="00363E89" w:rsidRPr="00005C17" w14:paraId="5142E4F1" w14:textId="77777777" w:rsidTr="006623D7">
        <w:trPr>
          <w:trHeight w:val="290"/>
        </w:trPr>
        <w:tc>
          <w:tcPr>
            <w:tcW w:w="6521" w:type="dxa"/>
            <w:tcBorders>
              <w:top w:val="single" w:sz="4" w:space="0" w:color="000000"/>
              <w:left w:val="nil"/>
              <w:bottom w:val="single" w:sz="4" w:space="0" w:color="000000"/>
              <w:right w:val="nil"/>
            </w:tcBorders>
            <w:shd w:val="clear" w:color="000000" w:fill="FFFFFF"/>
            <w:noWrap/>
            <w:vAlign w:val="bottom"/>
            <w:hideMark/>
          </w:tcPr>
          <w:p w14:paraId="5142E4EC"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Μακροπρόθεσμες δανειακές υποχρεώσεις και υποχρεώσεις μισθώσεων</w:t>
            </w:r>
          </w:p>
        </w:tc>
        <w:tc>
          <w:tcPr>
            <w:tcW w:w="283" w:type="dxa"/>
            <w:tcBorders>
              <w:top w:val="nil"/>
              <w:left w:val="nil"/>
              <w:bottom w:val="nil"/>
              <w:right w:val="nil"/>
            </w:tcBorders>
            <w:shd w:val="clear" w:color="000000" w:fill="FFFFFF"/>
            <w:noWrap/>
            <w:vAlign w:val="bottom"/>
            <w:hideMark/>
          </w:tcPr>
          <w:p w14:paraId="5142E4ED"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560" w:type="dxa"/>
            <w:tcBorders>
              <w:top w:val="single" w:sz="4" w:space="0" w:color="000000"/>
              <w:left w:val="nil"/>
              <w:bottom w:val="single" w:sz="4" w:space="0" w:color="000000"/>
              <w:right w:val="nil"/>
            </w:tcBorders>
            <w:shd w:val="clear" w:color="000000" w:fill="F2F2F2"/>
            <w:noWrap/>
            <w:vAlign w:val="bottom"/>
            <w:hideMark/>
          </w:tcPr>
          <w:p w14:paraId="5142E4E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679.775</w:t>
            </w:r>
          </w:p>
        </w:tc>
        <w:tc>
          <w:tcPr>
            <w:tcW w:w="283" w:type="dxa"/>
            <w:tcBorders>
              <w:top w:val="nil"/>
              <w:left w:val="nil"/>
              <w:bottom w:val="nil"/>
              <w:right w:val="nil"/>
            </w:tcBorders>
            <w:shd w:val="clear" w:color="000000" w:fill="FFFFFF"/>
            <w:noWrap/>
            <w:vAlign w:val="bottom"/>
            <w:hideMark/>
          </w:tcPr>
          <w:p w14:paraId="5142E4EF"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418" w:type="dxa"/>
            <w:tcBorders>
              <w:top w:val="single" w:sz="4" w:space="0" w:color="000000"/>
              <w:left w:val="nil"/>
              <w:bottom w:val="single" w:sz="4" w:space="0" w:color="000000"/>
              <w:right w:val="nil"/>
            </w:tcBorders>
            <w:shd w:val="clear" w:color="auto" w:fill="auto"/>
            <w:noWrap/>
            <w:vAlign w:val="bottom"/>
            <w:hideMark/>
          </w:tcPr>
          <w:p w14:paraId="5142E4F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666.993</w:t>
            </w:r>
          </w:p>
        </w:tc>
      </w:tr>
      <w:tr w:rsidR="00363E89" w:rsidRPr="00005C17" w14:paraId="5142E4F7" w14:textId="77777777" w:rsidTr="006623D7">
        <w:trPr>
          <w:trHeight w:val="290"/>
        </w:trPr>
        <w:tc>
          <w:tcPr>
            <w:tcW w:w="6521" w:type="dxa"/>
            <w:tcBorders>
              <w:top w:val="nil"/>
              <w:left w:val="nil"/>
              <w:bottom w:val="single" w:sz="4" w:space="0" w:color="000000"/>
              <w:right w:val="nil"/>
            </w:tcBorders>
            <w:shd w:val="clear" w:color="000000" w:fill="FFFFFF"/>
            <w:noWrap/>
            <w:vAlign w:val="bottom"/>
            <w:hideMark/>
          </w:tcPr>
          <w:p w14:paraId="5142E4F2"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Αναβαλλόμενες φορολογικές υποχρεώσεις</w:t>
            </w:r>
          </w:p>
        </w:tc>
        <w:tc>
          <w:tcPr>
            <w:tcW w:w="283" w:type="dxa"/>
            <w:tcBorders>
              <w:top w:val="nil"/>
              <w:left w:val="nil"/>
              <w:bottom w:val="nil"/>
              <w:right w:val="nil"/>
            </w:tcBorders>
            <w:shd w:val="clear" w:color="000000" w:fill="FFFFFF"/>
            <w:noWrap/>
            <w:vAlign w:val="bottom"/>
            <w:hideMark/>
          </w:tcPr>
          <w:p w14:paraId="5142E4F3"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560" w:type="dxa"/>
            <w:tcBorders>
              <w:top w:val="nil"/>
              <w:left w:val="nil"/>
              <w:bottom w:val="single" w:sz="4" w:space="0" w:color="000000"/>
              <w:right w:val="nil"/>
            </w:tcBorders>
            <w:shd w:val="clear" w:color="000000" w:fill="F2F2F2"/>
            <w:noWrap/>
            <w:vAlign w:val="bottom"/>
            <w:hideMark/>
          </w:tcPr>
          <w:p w14:paraId="5142E4F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110.581</w:t>
            </w:r>
          </w:p>
        </w:tc>
        <w:tc>
          <w:tcPr>
            <w:tcW w:w="283" w:type="dxa"/>
            <w:tcBorders>
              <w:top w:val="nil"/>
              <w:left w:val="nil"/>
              <w:bottom w:val="nil"/>
              <w:right w:val="nil"/>
            </w:tcBorders>
            <w:shd w:val="clear" w:color="000000" w:fill="FFFFFF"/>
            <w:noWrap/>
            <w:vAlign w:val="bottom"/>
            <w:hideMark/>
          </w:tcPr>
          <w:p w14:paraId="5142E4F5"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418" w:type="dxa"/>
            <w:tcBorders>
              <w:top w:val="nil"/>
              <w:left w:val="nil"/>
              <w:bottom w:val="single" w:sz="4" w:space="0" w:color="000000"/>
              <w:right w:val="nil"/>
            </w:tcBorders>
            <w:shd w:val="clear" w:color="auto" w:fill="auto"/>
            <w:noWrap/>
            <w:vAlign w:val="bottom"/>
            <w:hideMark/>
          </w:tcPr>
          <w:p w14:paraId="5142E4F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102.078</w:t>
            </w:r>
          </w:p>
        </w:tc>
      </w:tr>
      <w:tr w:rsidR="00363E89" w:rsidRPr="00005C17" w14:paraId="5142E4FD" w14:textId="77777777" w:rsidTr="006623D7">
        <w:trPr>
          <w:trHeight w:val="290"/>
        </w:trPr>
        <w:tc>
          <w:tcPr>
            <w:tcW w:w="6521" w:type="dxa"/>
            <w:tcBorders>
              <w:top w:val="nil"/>
              <w:left w:val="nil"/>
              <w:bottom w:val="nil"/>
              <w:right w:val="nil"/>
            </w:tcBorders>
            <w:shd w:val="clear" w:color="000000" w:fill="FFFFFF"/>
            <w:noWrap/>
            <w:vAlign w:val="bottom"/>
            <w:hideMark/>
          </w:tcPr>
          <w:p w14:paraId="5142E4F8"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Λοιπές μακροπρόθεσμες υποχρεώσεις</w:t>
            </w:r>
          </w:p>
        </w:tc>
        <w:tc>
          <w:tcPr>
            <w:tcW w:w="283" w:type="dxa"/>
            <w:tcBorders>
              <w:top w:val="nil"/>
              <w:left w:val="nil"/>
              <w:bottom w:val="nil"/>
              <w:right w:val="nil"/>
            </w:tcBorders>
            <w:shd w:val="clear" w:color="auto" w:fill="auto"/>
            <w:noWrap/>
            <w:vAlign w:val="bottom"/>
            <w:hideMark/>
          </w:tcPr>
          <w:p w14:paraId="5142E4F9" w14:textId="77777777" w:rsidR="00363E89" w:rsidRPr="007A6EC1" w:rsidRDefault="00363E89" w:rsidP="006623D7">
            <w:pPr>
              <w:rPr>
                <w:rFonts w:ascii="Calibri" w:hAnsi="Calibri" w:cs="Calibri"/>
                <w:sz w:val="21"/>
                <w:szCs w:val="21"/>
                <w:lang w:val="el-GR"/>
              </w:rPr>
            </w:pPr>
          </w:p>
        </w:tc>
        <w:tc>
          <w:tcPr>
            <w:tcW w:w="1560" w:type="dxa"/>
            <w:tcBorders>
              <w:top w:val="nil"/>
              <w:left w:val="nil"/>
              <w:bottom w:val="nil"/>
              <w:right w:val="nil"/>
            </w:tcBorders>
            <w:shd w:val="clear" w:color="000000" w:fill="F2F2F2"/>
            <w:noWrap/>
            <w:vAlign w:val="bottom"/>
            <w:hideMark/>
          </w:tcPr>
          <w:p w14:paraId="5142E4F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98.399</w:t>
            </w:r>
          </w:p>
        </w:tc>
        <w:tc>
          <w:tcPr>
            <w:tcW w:w="283" w:type="dxa"/>
            <w:tcBorders>
              <w:top w:val="nil"/>
              <w:left w:val="nil"/>
              <w:bottom w:val="nil"/>
              <w:right w:val="nil"/>
            </w:tcBorders>
            <w:shd w:val="clear" w:color="auto" w:fill="auto"/>
            <w:noWrap/>
            <w:vAlign w:val="bottom"/>
            <w:hideMark/>
          </w:tcPr>
          <w:p w14:paraId="5142E4FB" w14:textId="77777777" w:rsidR="00363E89" w:rsidRPr="007A6EC1" w:rsidRDefault="00363E89" w:rsidP="006623D7">
            <w:pPr>
              <w:jc w:val="right"/>
              <w:rPr>
                <w:rFonts w:ascii="Calibri" w:hAnsi="Calibri" w:cs="Calibri"/>
                <w:sz w:val="21"/>
                <w:szCs w:val="21"/>
                <w:lang w:val="el-GR"/>
              </w:rPr>
            </w:pPr>
          </w:p>
        </w:tc>
        <w:tc>
          <w:tcPr>
            <w:tcW w:w="1418" w:type="dxa"/>
            <w:tcBorders>
              <w:top w:val="nil"/>
              <w:left w:val="nil"/>
              <w:bottom w:val="nil"/>
              <w:right w:val="nil"/>
            </w:tcBorders>
            <w:shd w:val="clear" w:color="auto" w:fill="auto"/>
            <w:noWrap/>
            <w:vAlign w:val="bottom"/>
            <w:hideMark/>
          </w:tcPr>
          <w:p w14:paraId="5142E4F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97.930</w:t>
            </w:r>
          </w:p>
        </w:tc>
      </w:tr>
      <w:tr w:rsidR="00363E89" w:rsidRPr="00005C17" w14:paraId="5142E503"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4FE"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μακροπροθέσμων υποχρεώσεων</w:t>
            </w:r>
          </w:p>
        </w:tc>
        <w:tc>
          <w:tcPr>
            <w:tcW w:w="283" w:type="dxa"/>
            <w:tcBorders>
              <w:top w:val="nil"/>
              <w:left w:val="nil"/>
              <w:bottom w:val="nil"/>
              <w:right w:val="nil"/>
            </w:tcBorders>
            <w:shd w:val="clear" w:color="auto" w:fill="auto"/>
            <w:noWrap/>
            <w:vAlign w:val="bottom"/>
            <w:hideMark/>
          </w:tcPr>
          <w:p w14:paraId="5142E4FF"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500"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888.755</w:t>
            </w:r>
          </w:p>
        </w:tc>
        <w:tc>
          <w:tcPr>
            <w:tcW w:w="283" w:type="dxa"/>
            <w:tcBorders>
              <w:top w:val="nil"/>
              <w:left w:val="nil"/>
              <w:bottom w:val="nil"/>
              <w:right w:val="nil"/>
            </w:tcBorders>
            <w:shd w:val="clear" w:color="auto" w:fill="auto"/>
            <w:noWrap/>
            <w:vAlign w:val="bottom"/>
            <w:hideMark/>
          </w:tcPr>
          <w:p w14:paraId="5142E501"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50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867.001</w:t>
            </w:r>
          </w:p>
        </w:tc>
      </w:tr>
      <w:tr w:rsidR="00363E89" w:rsidRPr="00005C17" w14:paraId="5142E509" w14:textId="77777777" w:rsidTr="006623D7">
        <w:trPr>
          <w:trHeight w:val="290"/>
        </w:trPr>
        <w:tc>
          <w:tcPr>
            <w:tcW w:w="6521" w:type="dxa"/>
            <w:tcBorders>
              <w:top w:val="nil"/>
              <w:left w:val="nil"/>
              <w:bottom w:val="nil"/>
              <w:right w:val="nil"/>
            </w:tcBorders>
            <w:shd w:val="clear" w:color="auto" w:fill="auto"/>
            <w:noWrap/>
            <w:vAlign w:val="bottom"/>
            <w:hideMark/>
          </w:tcPr>
          <w:p w14:paraId="5142E504"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505" w14:textId="77777777" w:rsidR="00363E89" w:rsidRPr="007A6EC1" w:rsidRDefault="00363E89" w:rsidP="006623D7">
            <w:pPr>
              <w:rPr>
                <w:sz w:val="20"/>
                <w:szCs w:val="20"/>
                <w:lang w:val="el-GR"/>
              </w:rPr>
            </w:pPr>
          </w:p>
        </w:tc>
        <w:tc>
          <w:tcPr>
            <w:tcW w:w="1560" w:type="dxa"/>
            <w:tcBorders>
              <w:top w:val="nil"/>
              <w:left w:val="nil"/>
              <w:bottom w:val="nil"/>
              <w:right w:val="nil"/>
            </w:tcBorders>
            <w:shd w:val="clear" w:color="auto" w:fill="auto"/>
            <w:noWrap/>
            <w:vAlign w:val="bottom"/>
            <w:hideMark/>
          </w:tcPr>
          <w:p w14:paraId="5142E506" w14:textId="77777777" w:rsidR="00363E89" w:rsidRPr="007A6EC1" w:rsidRDefault="00363E89" w:rsidP="006623D7">
            <w:pPr>
              <w:jc w:val="right"/>
              <w:rPr>
                <w:sz w:val="20"/>
                <w:szCs w:val="20"/>
                <w:lang w:val="el-GR"/>
              </w:rPr>
            </w:pPr>
          </w:p>
        </w:tc>
        <w:tc>
          <w:tcPr>
            <w:tcW w:w="283" w:type="dxa"/>
            <w:tcBorders>
              <w:top w:val="nil"/>
              <w:left w:val="nil"/>
              <w:bottom w:val="nil"/>
              <w:right w:val="nil"/>
            </w:tcBorders>
            <w:shd w:val="clear" w:color="auto" w:fill="auto"/>
            <w:noWrap/>
            <w:vAlign w:val="bottom"/>
            <w:hideMark/>
          </w:tcPr>
          <w:p w14:paraId="5142E507" w14:textId="77777777" w:rsidR="00363E89" w:rsidRPr="007A6EC1" w:rsidRDefault="00363E89" w:rsidP="006623D7">
            <w:pPr>
              <w:jc w:val="right"/>
              <w:rPr>
                <w:sz w:val="20"/>
                <w:szCs w:val="20"/>
                <w:lang w:val="el-GR"/>
              </w:rPr>
            </w:pPr>
          </w:p>
        </w:tc>
        <w:tc>
          <w:tcPr>
            <w:tcW w:w="1418" w:type="dxa"/>
            <w:tcBorders>
              <w:top w:val="nil"/>
              <w:left w:val="nil"/>
              <w:bottom w:val="nil"/>
              <w:right w:val="nil"/>
            </w:tcBorders>
            <w:shd w:val="clear" w:color="auto" w:fill="auto"/>
            <w:noWrap/>
            <w:vAlign w:val="bottom"/>
            <w:hideMark/>
          </w:tcPr>
          <w:p w14:paraId="5142E508" w14:textId="77777777" w:rsidR="00363E89" w:rsidRPr="007A6EC1" w:rsidRDefault="00363E89" w:rsidP="006623D7">
            <w:pPr>
              <w:jc w:val="right"/>
              <w:rPr>
                <w:sz w:val="20"/>
                <w:szCs w:val="20"/>
                <w:lang w:val="el-GR"/>
              </w:rPr>
            </w:pPr>
          </w:p>
        </w:tc>
      </w:tr>
      <w:tr w:rsidR="00363E89" w:rsidRPr="00005C17" w14:paraId="5142E50F" w14:textId="77777777" w:rsidTr="006623D7">
        <w:trPr>
          <w:trHeight w:val="290"/>
        </w:trPr>
        <w:tc>
          <w:tcPr>
            <w:tcW w:w="6521" w:type="dxa"/>
            <w:tcBorders>
              <w:top w:val="single" w:sz="4" w:space="0" w:color="000000"/>
              <w:left w:val="nil"/>
              <w:bottom w:val="single" w:sz="4" w:space="0" w:color="000000"/>
              <w:right w:val="nil"/>
            </w:tcBorders>
            <w:shd w:val="clear" w:color="auto" w:fill="auto"/>
            <w:noWrap/>
            <w:vAlign w:val="bottom"/>
            <w:hideMark/>
          </w:tcPr>
          <w:p w14:paraId="5142E50A"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Βραχυπρόθεσμες δανειακές υποχρεώσεις και υποχρεώσεις μισθώσεων</w:t>
            </w:r>
          </w:p>
        </w:tc>
        <w:tc>
          <w:tcPr>
            <w:tcW w:w="283" w:type="dxa"/>
            <w:tcBorders>
              <w:top w:val="nil"/>
              <w:left w:val="nil"/>
              <w:bottom w:val="nil"/>
              <w:right w:val="nil"/>
            </w:tcBorders>
            <w:shd w:val="clear" w:color="auto" w:fill="auto"/>
            <w:noWrap/>
            <w:vAlign w:val="bottom"/>
            <w:hideMark/>
          </w:tcPr>
          <w:p w14:paraId="5142E50B" w14:textId="77777777" w:rsidR="00363E89" w:rsidRPr="007A6EC1" w:rsidRDefault="00363E89" w:rsidP="006623D7">
            <w:pPr>
              <w:rPr>
                <w:rFonts w:ascii="Calibri" w:hAnsi="Calibri" w:cs="Calibri"/>
                <w:sz w:val="21"/>
                <w:szCs w:val="21"/>
                <w:lang w:val="el-GR"/>
              </w:rPr>
            </w:pPr>
          </w:p>
        </w:tc>
        <w:tc>
          <w:tcPr>
            <w:tcW w:w="1560" w:type="dxa"/>
            <w:tcBorders>
              <w:top w:val="single" w:sz="4" w:space="0" w:color="000000"/>
              <w:left w:val="nil"/>
              <w:bottom w:val="single" w:sz="4" w:space="0" w:color="000000"/>
              <w:right w:val="nil"/>
            </w:tcBorders>
            <w:shd w:val="clear" w:color="000000" w:fill="F2F2F2"/>
            <w:noWrap/>
            <w:vAlign w:val="bottom"/>
            <w:hideMark/>
          </w:tcPr>
          <w:p w14:paraId="5142E50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105.330</w:t>
            </w:r>
          </w:p>
        </w:tc>
        <w:tc>
          <w:tcPr>
            <w:tcW w:w="283" w:type="dxa"/>
            <w:tcBorders>
              <w:top w:val="nil"/>
              <w:left w:val="nil"/>
              <w:bottom w:val="nil"/>
              <w:right w:val="nil"/>
            </w:tcBorders>
            <w:shd w:val="clear" w:color="auto" w:fill="auto"/>
            <w:noWrap/>
            <w:vAlign w:val="bottom"/>
            <w:hideMark/>
          </w:tcPr>
          <w:p w14:paraId="5142E50D" w14:textId="77777777" w:rsidR="00363E89" w:rsidRPr="007A6EC1" w:rsidRDefault="00363E89" w:rsidP="006623D7">
            <w:pPr>
              <w:jc w:val="right"/>
              <w:rPr>
                <w:rFonts w:ascii="Calibri" w:hAnsi="Calibri" w:cs="Calibri"/>
                <w:sz w:val="21"/>
                <w:szCs w:val="21"/>
                <w:lang w:val="el-GR"/>
              </w:rPr>
            </w:pPr>
          </w:p>
        </w:tc>
        <w:tc>
          <w:tcPr>
            <w:tcW w:w="1418" w:type="dxa"/>
            <w:tcBorders>
              <w:top w:val="single" w:sz="4" w:space="0" w:color="000000"/>
              <w:left w:val="nil"/>
              <w:bottom w:val="single" w:sz="4" w:space="0" w:color="000000"/>
              <w:right w:val="nil"/>
            </w:tcBorders>
            <w:shd w:val="clear" w:color="auto" w:fill="auto"/>
            <w:noWrap/>
            <w:vAlign w:val="bottom"/>
            <w:hideMark/>
          </w:tcPr>
          <w:p w14:paraId="5142E50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223.850</w:t>
            </w:r>
          </w:p>
        </w:tc>
      </w:tr>
      <w:tr w:rsidR="00363E89" w:rsidRPr="00005C17" w14:paraId="5142E515" w14:textId="77777777" w:rsidTr="006623D7">
        <w:trPr>
          <w:trHeight w:val="290"/>
        </w:trPr>
        <w:tc>
          <w:tcPr>
            <w:tcW w:w="6521" w:type="dxa"/>
            <w:tcBorders>
              <w:top w:val="nil"/>
              <w:left w:val="nil"/>
              <w:bottom w:val="single" w:sz="4" w:space="0" w:color="000000"/>
              <w:right w:val="nil"/>
            </w:tcBorders>
            <w:shd w:val="clear" w:color="000000" w:fill="FFFFFF"/>
            <w:noWrap/>
            <w:vAlign w:val="bottom"/>
            <w:hideMark/>
          </w:tcPr>
          <w:p w14:paraId="5142E510"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Υποχρεώσεις σε προμηθευτές, φόρο εισοδήματος και λοιπές βραχυπρόθεσμες υποχρεώσεις</w:t>
            </w:r>
          </w:p>
        </w:tc>
        <w:tc>
          <w:tcPr>
            <w:tcW w:w="283" w:type="dxa"/>
            <w:tcBorders>
              <w:top w:val="nil"/>
              <w:left w:val="nil"/>
              <w:bottom w:val="nil"/>
              <w:right w:val="nil"/>
            </w:tcBorders>
            <w:shd w:val="clear" w:color="000000" w:fill="FFFFFF"/>
            <w:noWrap/>
            <w:vAlign w:val="bottom"/>
            <w:hideMark/>
          </w:tcPr>
          <w:p w14:paraId="5142E511"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560" w:type="dxa"/>
            <w:tcBorders>
              <w:top w:val="nil"/>
              <w:left w:val="nil"/>
              <w:bottom w:val="single" w:sz="4" w:space="0" w:color="000000"/>
              <w:right w:val="nil"/>
            </w:tcBorders>
            <w:shd w:val="clear" w:color="000000" w:fill="F2F2F2"/>
            <w:noWrap/>
            <w:vAlign w:val="bottom"/>
            <w:hideMark/>
          </w:tcPr>
          <w:p w14:paraId="5142E51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338.725</w:t>
            </w:r>
          </w:p>
        </w:tc>
        <w:tc>
          <w:tcPr>
            <w:tcW w:w="283" w:type="dxa"/>
            <w:tcBorders>
              <w:top w:val="nil"/>
              <w:left w:val="nil"/>
              <w:bottom w:val="nil"/>
              <w:right w:val="nil"/>
            </w:tcBorders>
            <w:shd w:val="clear" w:color="000000" w:fill="FFFFFF"/>
            <w:noWrap/>
            <w:vAlign w:val="bottom"/>
            <w:hideMark/>
          </w:tcPr>
          <w:p w14:paraId="5142E513"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1418" w:type="dxa"/>
            <w:tcBorders>
              <w:top w:val="nil"/>
              <w:left w:val="nil"/>
              <w:bottom w:val="single" w:sz="4" w:space="0" w:color="000000"/>
              <w:right w:val="nil"/>
            </w:tcBorders>
            <w:shd w:val="clear" w:color="auto" w:fill="auto"/>
            <w:noWrap/>
            <w:vAlign w:val="bottom"/>
            <w:hideMark/>
          </w:tcPr>
          <w:p w14:paraId="5142E51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321.399</w:t>
            </w:r>
          </w:p>
        </w:tc>
      </w:tr>
      <w:tr w:rsidR="00363E89" w:rsidRPr="00005C17" w14:paraId="5142E51B"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516"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βραχυπροθέσμων υποχρεώσεων</w:t>
            </w:r>
          </w:p>
        </w:tc>
        <w:tc>
          <w:tcPr>
            <w:tcW w:w="283" w:type="dxa"/>
            <w:tcBorders>
              <w:top w:val="nil"/>
              <w:left w:val="nil"/>
              <w:bottom w:val="nil"/>
              <w:right w:val="nil"/>
            </w:tcBorders>
            <w:shd w:val="clear" w:color="auto" w:fill="auto"/>
            <w:noWrap/>
            <w:vAlign w:val="bottom"/>
            <w:hideMark/>
          </w:tcPr>
          <w:p w14:paraId="5142E517"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518"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444.055</w:t>
            </w:r>
          </w:p>
        </w:tc>
        <w:tc>
          <w:tcPr>
            <w:tcW w:w="283" w:type="dxa"/>
            <w:tcBorders>
              <w:top w:val="nil"/>
              <w:left w:val="nil"/>
              <w:bottom w:val="nil"/>
              <w:right w:val="nil"/>
            </w:tcBorders>
            <w:shd w:val="clear" w:color="auto" w:fill="auto"/>
            <w:noWrap/>
            <w:vAlign w:val="bottom"/>
            <w:hideMark/>
          </w:tcPr>
          <w:p w14:paraId="5142E519"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51A"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545.249</w:t>
            </w:r>
          </w:p>
        </w:tc>
      </w:tr>
      <w:tr w:rsidR="00363E89" w:rsidRPr="00005C17" w14:paraId="5142E521" w14:textId="77777777" w:rsidTr="006623D7">
        <w:trPr>
          <w:trHeight w:val="276"/>
        </w:trPr>
        <w:tc>
          <w:tcPr>
            <w:tcW w:w="6521" w:type="dxa"/>
            <w:tcBorders>
              <w:top w:val="single" w:sz="4" w:space="0" w:color="auto"/>
              <w:left w:val="nil"/>
              <w:bottom w:val="nil"/>
              <w:right w:val="nil"/>
            </w:tcBorders>
            <w:shd w:val="clear" w:color="auto" w:fill="auto"/>
            <w:noWrap/>
            <w:vAlign w:val="bottom"/>
            <w:hideMark/>
          </w:tcPr>
          <w:p w14:paraId="5142E51C"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w:t>
            </w:r>
          </w:p>
        </w:tc>
        <w:tc>
          <w:tcPr>
            <w:tcW w:w="283" w:type="dxa"/>
            <w:tcBorders>
              <w:top w:val="nil"/>
              <w:left w:val="nil"/>
              <w:bottom w:val="nil"/>
              <w:right w:val="nil"/>
            </w:tcBorders>
            <w:shd w:val="clear" w:color="auto" w:fill="auto"/>
            <w:noWrap/>
            <w:vAlign w:val="bottom"/>
            <w:hideMark/>
          </w:tcPr>
          <w:p w14:paraId="5142E51D" w14:textId="77777777" w:rsidR="00363E89" w:rsidRPr="007A6EC1" w:rsidRDefault="00363E89" w:rsidP="006623D7">
            <w:pPr>
              <w:rPr>
                <w:rFonts w:ascii="Calibri" w:hAnsi="Calibri" w:cs="Calibri"/>
                <w:sz w:val="21"/>
                <w:szCs w:val="21"/>
                <w:lang w:val="el-GR"/>
              </w:rPr>
            </w:pPr>
          </w:p>
        </w:tc>
        <w:tc>
          <w:tcPr>
            <w:tcW w:w="1560" w:type="dxa"/>
            <w:tcBorders>
              <w:top w:val="single" w:sz="4" w:space="0" w:color="auto"/>
              <w:left w:val="nil"/>
              <w:bottom w:val="nil"/>
              <w:right w:val="nil"/>
            </w:tcBorders>
            <w:shd w:val="clear" w:color="auto" w:fill="auto"/>
            <w:noWrap/>
            <w:vAlign w:val="bottom"/>
            <w:hideMark/>
          </w:tcPr>
          <w:p w14:paraId="5142E51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c>
          <w:tcPr>
            <w:tcW w:w="283" w:type="dxa"/>
            <w:tcBorders>
              <w:top w:val="nil"/>
              <w:left w:val="nil"/>
              <w:bottom w:val="nil"/>
              <w:right w:val="nil"/>
            </w:tcBorders>
            <w:shd w:val="clear" w:color="auto" w:fill="auto"/>
            <w:noWrap/>
            <w:vAlign w:val="bottom"/>
            <w:hideMark/>
          </w:tcPr>
          <w:p w14:paraId="5142E51F" w14:textId="77777777" w:rsidR="00363E89" w:rsidRPr="007A6EC1" w:rsidRDefault="00363E89" w:rsidP="006623D7">
            <w:pPr>
              <w:jc w:val="right"/>
              <w:rPr>
                <w:rFonts w:ascii="Calibri" w:hAnsi="Calibri" w:cs="Calibri"/>
                <w:sz w:val="21"/>
                <w:szCs w:val="21"/>
                <w:lang w:val="el-GR"/>
              </w:rPr>
            </w:pPr>
          </w:p>
        </w:tc>
        <w:tc>
          <w:tcPr>
            <w:tcW w:w="1418" w:type="dxa"/>
            <w:tcBorders>
              <w:top w:val="single" w:sz="4" w:space="0" w:color="auto"/>
              <w:left w:val="nil"/>
              <w:bottom w:val="nil"/>
              <w:right w:val="nil"/>
            </w:tcBorders>
            <w:shd w:val="clear" w:color="auto" w:fill="auto"/>
            <w:noWrap/>
            <w:vAlign w:val="bottom"/>
            <w:hideMark/>
          </w:tcPr>
          <w:p w14:paraId="5142E52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 </w:t>
            </w:r>
          </w:p>
        </w:tc>
      </w:tr>
      <w:tr w:rsidR="00363E89" w:rsidRPr="00005C17" w14:paraId="5142E527" w14:textId="77777777" w:rsidTr="006623D7">
        <w:trPr>
          <w:trHeight w:val="290"/>
        </w:trPr>
        <w:tc>
          <w:tcPr>
            <w:tcW w:w="6521" w:type="dxa"/>
            <w:tcBorders>
              <w:top w:val="single" w:sz="4" w:space="0" w:color="4F81BD"/>
              <w:left w:val="nil"/>
              <w:bottom w:val="single" w:sz="4" w:space="0" w:color="auto"/>
              <w:right w:val="nil"/>
            </w:tcBorders>
            <w:shd w:val="clear" w:color="auto" w:fill="auto"/>
            <w:noWrap/>
            <w:vAlign w:val="bottom"/>
            <w:hideMark/>
          </w:tcPr>
          <w:p w14:paraId="5142E522"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υποχρεώσεων (β)</w:t>
            </w:r>
          </w:p>
        </w:tc>
        <w:tc>
          <w:tcPr>
            <w:tcW w:w="283" w:type="dxa"/>
            <w:tcBorders>
              <w:top w:val="nil"/>
              <w:left w:val="nil"/>
              <w:bottom w:val="nil"/>
              <w:right w:val="nil"/>
            </w:tcBorders>
            <w:shd w:val="clear" w:color="auto" w:fill="auto"/>
            <w:noWrap/>
            <w:vAlign w:val="bottom"/>
            <w:hideMark/>
          </w:tcPr>
          <w:p w14:paraId="5142E523"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4F81BD"/>
              <w:left w:val="nil"/>
              <w:bottom w:val="single" w:sz="4" w:space="0" w:color="auto"/>
              <w:right w:val="nil"/>
            </w:tcBorders>
            <w:shd w:val="clear" w:color="000000" w:fill="F2F2F2"/>
            <w:noWrap/>
            <w:vAlign w:val="bottom"/>
            <w:hideMark/>
          </w:tcPr>
          <w:p w14:paraId="5142E52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1.332.810</w:t>
            </w:r>
          </w:p>
        </w:tc>
        <w:tc>
          <w:tcPr>
            <w:tcW w:w="283" w:type="dxa"/>
            <w:tcBorders>
              <w:top w:val="nil"/>
              <w:left w:val="nil"/>
              <w:bottom w:val="nil"/>
              <w:right w:val="nil"/>
            </w:tcBorders>
            <w:shd w:val="clear" w:color="auto" w:fill="auto"/>
            <w:noWrap/>
            <w:vAlign w:val="bottom"/>
            <w:hideMark/>
          </w:tcPr>
          <w:p w14:paraId="5142E525"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4F81BD"/>
              <w:left w:val="nil"/>
              <w:bottom w:val="single" w:sz="4" w:space="0" w:color="auto"/>
              <w:right w:val="nil"/>
            </w:tcBorders>
            <w:shd w:val="clear" w:color="auto" w:fill="auto"/>
            <w:noWrap/>
            <w:vAlign w:val="bottom"/>
            <w:hideMark/>
          </w:tcPr>
          <w:p w14:paraId="5142E526"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1.412.250</w:t>
            </w:r>
          </w:p>
        </w:tc>
      </w:tr>
      <w:tr w:rsidR="00363E89" w:rsidRPr="00005C17" w14:paraId="5142E52D" w14:textId="77777777" w:rsidTr="006623D7">
        <w:trPr>
          <w:trHeight w:val="276"/>
        </w:trPr>
        <w:tc>
          <w:tcPr>
            <w:tcW w:w="6521" w:type="dxa"/>
            <w:tcBorders>
              <w:top w:val="nil"/>
              <w:left w:val="nil"/>
              <w:bottom w:val="nil"/>
              <w:right w:val="nil"/>
            </w:tcBorders>
            <w:shd w:val="clear" w:color="auto" w:fill="auto"/>
            <w:noWrap/>
            <w:vAlign w:val="bottom"/>
            <w:hideMark/>
          </w:tcPr>
          <w:p w14:paraId="5142E528"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000000" w:fill="FFFFFF"/>
            <w:noWrap/>
            <w:vAlign w:val="bottom"/>
            <w:hideMark/>
          </w:tcPr>
          <w:p w14:paraId="5142E529" w14:textId="77777777" w:rsidR="00363E89" w:rsidRPr="007A6EC1" w:rsidRDefault="00363E89" w:rsidP="006623D7">
            <w:pPr>
              <w:jc w:val="right"/>
              <w:rPr>
                <w:rFonts w:ascii="Calibri" w:hAnsi="Calibri" w:cs="Calibri"/>
                <w:color w:val="575756"/>
                <w:sz w:val="21"/>
                <w:szCs w:val="21"/>
                <w:lang w:val="el-GR"/>
              </w:rPr>
            </w:pPr>
            <w:r w:rsidRPr="007A6EC1">
              <w:rPr>
                <w:rFonts w:ascii="Calibri" w:hAnsi="Calibri" w:cs="Calibri"/>
                <w:color w:val="575756"/>
                <w:sz w:val="21"/>
                <w:szCs w:val="21"/>
                <w:lang w:val="el-GR"/>
              </w:rPr>
              <w:t> </w:t>
            </w:r>
          </w:p>
        </w:tc>
        <w:tc>
          <w:tcPr>
            <w:tcW w:w="1560" w:type="dxa"/>
            <w:tcBorders>
              <w:top w:val="nil"/>
              <w:left w:val="nil"/>
              <w:bottom w:val="nil"/>
              <w:right w:val="nil"/>
            </w:tcBorders>
            <w:shd w:val="clear" w:color="auto" w:fill="auto"/>
            <w:noWrap/>
            <w:vAlign w:val="bottom"/>
            <w:hideMark/>
          </w:tcPr>
          <w:p w14:paraId="5142E52A" w14:textId="77777777" w:rsidR="00363E89" w:rsidRPr="007A6EC1" w:rsidRDefault="00363E89" w:rsidP="006623D7">
            <w:pPr>
              <w:jc w:val="right"/>
              <w:rPr>
                <w:rFonts w:ascii="Calibri" w:hAnsi="Calibri" w:cs="Calibri"/>
                <w:color w:val="575756"/>
                <w:sz w:val="21"/>
                <w:szCs w:val="21"/>
                <w:lang w:val="el-GR"/>
              </w:rPr>
            </w:pPr>
          </w:p>
        </w:tc>
        <w:tc>
          <w:tcPr>
            <w:tcW w:w="283" w:type="dxa"/>
            <w:tcBorders>
              <w:top w:val="nil"/>
              <w:left w:val="nil"/>
              <w:bottom w:val="nil"/>
              <w:right w:val="nil"/>
            </w:tcBorders>
            <w:shd w:val="clear" w:color="000000" w:fill="FFFFFF"/>
            <w:noWrap/>
            <w:vAlign w:val="bottom"/>
            <w:hideMark/>
          </w:tcPr>
          <w:p w14:paraId="5142E52B" w14:textId="77777777" w:rsidR="00363E89" w:rsidRPr="007A6EC1" w:rsidRDefault="00363E89" w:rsidP="006623D7">
            <w:pPr>
              <w:jc w:val="right"/>
              <w:rPr>
                <w:rFonts w:ascii="Calibri" w:hAnsi="Calibri" w:cs="Calibri"/>
                <w:color w:val="575756"/>
                <w:sz w:val="21"/>
                <w:szCs w:val="21"/>
                <w:lang w:val="el-GR"/>
              </w:rPr>
            </w:pPr>
            <w:r w:rsidRPr="007A6EC1">
              <w:rPr>
                <w:rFonts w:ascii="Calibri" w:hAnsi="Calibri" w:cs="Calibri"/>
                <w:color w:val="575756"/>
                <w:sz w:val="21"/>
                <w:szCs w:val="21"/>
                <w:lang w:val="el-GR"/>
              </w:rPr>
              <w:t> </w:t>
            </w:r>
          </w:p>
        </w:tc>
        <w:tc>
          <w:tcPr>
            <w:tcW w:w="1418" w:type="dxa"/>
            <w:tcBorders>
              <w:top w:val="nil"/>
              <w:left w:val="nil"/>
              <w:bottom w:val="nil"/>
              <w:right w:val="nil"/>
            </w:tcBorders>
            <w:shd w:val="clear" w:color="auto" w:fill="auto"/>
            <w:noWrap/>
            <w:vAlign w:val="bottom"/>
            <w:hideMark/>
          </w:tcPr>
          <w:p w14:paraId="5142E52C" w14:textId="77777777" w:rsidR="00363E89" w:rsidRPr="007A6EC1" w:rsidRDefault="00363E89" w:rsidP="006623D7">
            <w:pPr>
              <w:jc w:val="right"/>
              <w:rPr>
                <w:rFonts w:ascii="Calibri" w:hAnsi="Calibri" w:cs="Calibri"/>
                <w:color w:val="575756"/>
                <w:sz w:val="21"/>
                <w:szCs w:val="21"/>
                <w:lang w:val="el-GR"/>
              </w:rPr>
            </w:pPr>
          </w:p>
        </w:tc>
      </w:tr>
      <w:tr w:rsidR="00363E89" w:rsidRPr="00005C17" w14:paraId="5142E533" w14:textId="77777777" w:rsidTr="006623D7">
        <w:trPr>
          <w:trHeight w:val="290"/>
        </w:trPr>
        <w:tc>
          <w:tcPr>
            <w:tcW w:w="6521" w:type="dxa"/>
            <w:tcBorders>
              <w:top w:val="single" w:sz="4" w:space="0" w:color="auto"/>
              <w:left w:val="nil"/>
              <w:bottom w:val="single" w:sz="4" w:space="0" w:color="4F81BD"/>
              <w:right w:val="nil"/>
            </w:tcBorders>
            <w:shd w:val="clear" w:color="auto" w:fill="auto"/>
            <w:noWrap/>
            <w:vAlign w:val="bottom"/>
            <w:hideMark/>
          </w:tcPr>
          <w:p w14:paraId="5142E52E"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Ιδίων Κεφαλαίων και Υποχρεώσεων (</w:t>
            </w:r>
            <w:proofErr w:type="spellStart"/>
            <w:r w:rsidRPr="007A6EC1">
              <w:rPr>
                <w:rFonts w:ascii="Calibri" w:hAnsi="Calibri" w:cs="Calibri"/>
                <w:b/>
                <w:bCs/>
                <w:sz w:val="21"/>
                <w:szCs w:val="21"/>
                <w:lang w:val="el-GR"/>
              </w:rPr>
              <w:t>α+β</w:t>
            </w:r>
            <w:proofErr w:type="spellEnd"/>
            <w:r w:rsidRPr="007A6EC1">
              <w:rPr>
                <w:rFonts w:ascii="Calibri" w:hAnsi="Calibri" w:cs="Calibri"/>
                <w:b/>
                <w:bCs/>
                <w:sz w:val="21"/>
                <w:szCs w:val="21"/>
                <w:lang w:val="el-GR"/>
              </w:rPr>
              <w:t>)</w:t>
            </w:r>
          </w:p>
        </w:tc>
        <w:tc>
          <w:tcPr>
            <w:tcW w:w="283" w:type="dxa"/>
            <w:tcBorders>
              <w:top w:val="nil"/>
              <w:left w:val="nil"/>
              <w:bottom w:val="nil"/>
              <w:right w:val="nil"/>
            </w:tcBorders>
            <w:shd w:val="clear" w:color="auto" w:fill="auto"/>
            <w:noWrap/>
            <w:vAlign w:val="bottom"/>
            <w:hideMark/>
          </w:tcPr>
          <w:p w14:paraId="5142E52F" w14:textId="77777777" w:rsidR="00363E89" w:rsidRPr="007A6EC1" w:rsidRDefault="00363E89" w:rsidP="006623D7">
            <w:pPr>
              <w:rPr>
                <w:rFonts w:ascii="Calibri" w:hAnsi="Calibri" w:cs="Calibri"/>
                <w:b/>
                <w:bCs/>
                <w:sz w:val="21"/>
                <w:szCs w:val="21"/>
                <w:lang w:val="el-GR"/>
              </w:rPr>
            </w:pPr>
          </w:p>
        </w:tc>
        <w:tc>
          <w:tcPr>
            <w:tcW w:w="1560" w:type="dxa"/>
            <w:tcBorders>
              <w:top w:val="single" w:sz="4" w:space="0" w:color="auto"/>
              <w:left w:val="nil"/>
              <w:bottom w:val="single" w:sz="4" w:space="0" w:color="4F81BD"/>
              <w:right w:val="nil"/>
            </w:tcBorders>
            <w:shd w:val="clear" w:color="000000" w:fill="F2F2F2"/>
            <w:noWrap/>
            <w:vAlign w:val="bottom"/>
            <w:hideMark/>
          </w:tcPr>
          <w:p w14:paraId="5142E530"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2.628.357</w:t>
            </w:r>
          </w:p>
        </w:tc>
        <w:tc>
          <w:tcPr>
            <w:tcW w:w="283" w:type="dxa"/>
            <w:tcBorders>
              <w:top w:val="nil"/>
              <w:left w:val="nil"/>
              <w:bottom w:val="nil"/>
              <w:right w:val="nil"/>
            </w:tcBorders>
            <w:shd w:val="clear" w:color="auto" w:fill="auto"/>
            <w:noWrap/>
            <w:vAlign w:val="bottom"/>
            <w:hideMark/>
          </w:tcPr>
          <w:p w14:paraId="5142E531" w14:textId="77777777" w:rsidR="00363E89" w:rsidRPr="007A6EC1" w:rsidRDefault="00363E89" w:rsidP="006623D7">
            <w:pPr>
              <w:jc w:val="right"/>
              <w:rPr>
                <w:rFonts w:ascii="Calibri" w:hAnsi="Calibri" w:cs="Calibri"/>
                <w:b/>
                <w:bCs/>
                <w:sz w:val="21"/>
                <w:szCs w:val="21"/>
                <w:lang w:val="el-GR"/>
              </w:rPr>
            </w:pPr>
          </w:p>
        </w:tc>
        <w:tc>
          <w:tcPr>
            <w:tcW w:w="1418" w:type="dxa"/>
            <w:tcBorders>
              <w:top w:val="single" w:sz="4" w:space="0" w:color="auto"/>
              <w:left w:val="nil"/>
              <w:bottom w:val="single" w:sz="4" w:space="0" w:color="4F81BD"/>
              <w:right w:val="nil"/>
            </w:tcBorders>
            <w:shd w:val="clear" w:color="auto" w:fill="auto"/>
            <w:noWrap/>
            <w:vAlign w:val="bottom"/>
            <w:hideMark/>
          </w:tcPr>
          <w:p w14:paraId="5142E53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2.678.933</w:t>
            </w:r>
          </w:p>
        </w:tc>
      </w:tr>
    </w:tbl>
    <w:p w14:paraId="5142E534" w14:textId="77777777" w:rsidR="00363E89" w:rsidRPr="00005C17" w:rsidRDefault="00363E89" w:rsidP="00363E89">
      <w:pPr>
        <w:spacing w:after="200" w:line="276" w:lineRule="auto"/>
        <w:rPr>
          <w:rFonts w:ascii="Calibri" w:eastAsia="Calibri" w:hAnsi="Calibri" w:cs="Calibri"/>
          <w:color w:val="00183D"/>
          <w:sz w:val="21"/>
          <w:szCs w:val="21"/>
          <w:lang w:val="el-GR"/>
        </w:rPr>
      </w:pPr>
    </w:p>
    <w:p w14:paraId="5142E535" w14:textId="77777777" w:rsidR="00363E89" w:rsidRDefault="00363E89" w:rsidP="00363E89">
      <w:pPr>
        <w:rPr>
          <w:lang w:val="el-GR"/>
        </w:rPr>
      </w:pPr>
    </w:p>
    <w:p w14:paraId="5142E536" w14:textId="77777777" w:rsidR="00363E89" w:rsidRPr="00005C17" w:rsidRDefault="00363E89" w:rsidP="00363E89">
      <w:pPr>
        <w:rPr>
          <w:lang w:val="el-GR"/>
        </w:rPr>
      </w:pPr>
    </w:p>
    <w:p w14:paraId="5142E537" w14:textId="77777777" w:rsidR="00363E89" w:rsidRPr="00005C17" w:rsidRDefault="00363E89" w:rsidP="00363E89">
      <w:pPr>
        <w:rPr>
          <w:lang w:val="el-GR"/>
        </w:rPr>
      </w:pPr>
    </w:p>
    <w:tbl>
      <w:tblPr>
        <w:tblW w:w="10206" w:type="dxa"/>
        <w:tblLook w:val="04A0" w:firstRow="1" w:lastRow="0" w:firstColumn="1" w:lastColumn="0" w:noHBand="0" w:noVBand="1"/>
      </w:tblPr>
      <w:tblGrid>
        <w:gridCol w:w="6663"/>
        <w:gridCol w:w="283"/>
        <w:gridCol w:w="1547"/>
        <w:gridCol w:w="222"/>
        <w:gridCol w:w="1491"/>
      </w:tblGrid>
      <w:tr w:rsidR="00363E89" w:rsidRPr="00F9367B" w14:paraId="5142E539" w14:textId="77777777" w:rsidTr="006623D7">
        <w:trPr>
          <w:trHeight w:val="480"/>
        </w:trPr>
        <w:tc>
          <w:tcPr>
            <w:tcW w:w="10206" w:type="dxa"/>
            <w:gridSpan w:val="5"/>
            <w:tcBorders>
              <w:top w:val="nil"/>
              <w:left w:val="nil"/>
              <w:bottom w:val="single" w:sz="4" w:space="0" w:color="auto"/>
              <w:right w:val="nil"/>
            </w:tcBorders>
            <w:shd w:val="clear" w:color="auto" w:fill="auto"/>
            <w:noWrap/>
            <w:vAlign w:val="bottom"/>
            <w:hideMark/>
          </w:tcPr>
          <w:p w14:paraId="5142E538" w14:textId="77777777" w:rsidR="00363E89" w:rsidRPr="007A6EC1" w:rsidRDefault="00363E89" w:rsidP="006623D7">
            <w:pPr>
              <w:rPr>
                <w:rFonts w:ascii="Calibri" w:hAnsi="Calibri" w:cs="Calibri"/>
                <w:b/>
                <w:bCs/>
                <w:color w:val="00183D"/>
                <w:sz w:val="28"/>
                <w:szCs w:val="28"/>
                <w:lang w:val="el-GR"/>
              </w:rPr>
            </w:pPr>
            <w:bookmarkStart w:id="1" w:name="RANGE!A1:E33"/>
            <w:r w:rsidRPr="007A6EC1">
              <w:rPr>
                <w:rFonts w:ascii="Calibri" w:hAnsi="Calibri" w:cs="Calibri"/>
                <w:b/>
                <w:bCs/>
                <w:color w:val="00183D"/>
                <w:sz w:val="28"/>
                <w:szCs w:val="28"/>
                <w:lang w:val="el-GR"/>
              </w:rPr>
              <w:lastRenderedPageBreak/>
              <w:t xml:space="preserve">Σύνοψη Ενδιάμεσης Ενοποιημένης Κατάστασης Ταμειακών Ροών </w:t>
            </w:r>
            <w:bookmarkEnd w:id="1"/>
          </w:p>
        </w:tc>
      </w:tr>
      <w:tr w:rsidR="00363E89" w:rsidRPr="00F9367B" w14:paraId="5142E53F" w14:textId="77777777" w:rsidTr="006623D7">
        <w:trPr>
          <w:trHeight w:val="169"/>
        </w:trPr>
        <w:tc>
          <w:tcPr>
            <w:tcW w:w="6663" w:type="dxa"/>
            <w:tcBorders>
              <w:top w:val="nil"/>
              <w:left w:val="nil"/>
              <w:bottom w:val="nil"/>
              <w:right w:val="nil"/>
            </w:tcBorders>
            <w:shd w:val="clear" w:color="auto" w:fill="auto"/>
            <w:vAlign w:val="bottom"/>
            <w:hideMark/>
          </w:tcPr>
          <w:p w14:paraId="5142E53A" w14:textId="77777777" w:rsidR="00363E89" w:rsidRPr="007A6EC1" w:rsidRDefault="00363E89" w:rsidP="006623D7">
            <w:pPr>
              <w:rPr>
                <w:rFonts w:ascii="Calibri" w:hAnsi="Calibri" w:cs="Calibri"/>
                <w:b/>
                <w:bCs/>
                <w:color w:val="00183D"/>
                <w:sz w:val="28"/>
                <w:szCs w:val="28"/>
                <w:lang w:val="el-GR"/>
              </w:rPr>
            </w:pPr>
          </w:p>
        </w:tc>
        <w:tc>
          <w:tcPr>
            <w:tcW w:w="283" w:type="dxa"/>
            <w:tcBorders>
              <w:top w:val="nil"/>
              <w:left w:val="nil"/>
              <w:bottom w:val="nil"/>
              <w:right w:val="nil"/>
            </w:tcBorders>
            <w:shd w:val="clear" w:color="auto" w:fill="auto"/>
            <w:hideMark/>
          </w:tcPr>
          <w:p w14:paraId="5142E53B"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vAlign w:val="bottom"/>
            <w:hideMark/>
          </w:tcPr>
          <w:p w14:paraId="5142E53C" w14:textId="77777777" w:rsidR="00363E89" w:rsidRPr="007A6EC1" w:rsidRDefault="00363E89" w:rsidP="006623D7">
            <w:pPr>
              <w:rPr>
                <w:sz w:val="20"/>
                <w:szCs w:val="20"/>
                <w:lang w:val="el-GR"/>
              </w:rPr>
            </w:pPr>
          </w:p>
        </w:tc>
        <w:tc>
          <w:tcPr>
            <w:tcW w:w="222" w:type="dxa"/>
            <w:tcBorders>
              <w:top w:val="nil"/>
              <w:left w:val="nil"/>
              <w:bottom w:val="nil"/>
              <w:right w:val="nil"/>
            </w:tcBorders>
            <w:shd w:val="clear" w:color="auto" w:fill="auto"/>
            <w:vAlign w:val="bottom"/>
            <w:hideMark/>
          </w:tcPr>
          <w:p w14:paraId="5142E53D" w14:textId="77777777" w:rsidR="00363E89" w:rsidRPr="007A6EC1" w:rsidRDefault="00363E89" w:rsidP="006623D7">
            <w:pPr>
              <w:rPr>
                <w:sz w:val="20"/>
                <w:szCs w:val="20"/>
                <w:lang w:val="el-GR"/>
              </w:rPr>
            </w:pPr>
          </w:p>
        </w:tc>
        <w:tc>
          <w:tcPr>
            <w:tcW w:w="1491" w:type="dxa"/>
            <w:tcBorders>
              <w:top w:val="nil"/>
              <w:left w:val="nil"/>
              <w:bottom w:val="nil"/>
              <w:right w:val="nil"/>
            </w:tcBorders>
            <w:shd w:val="clear" w:color="auto" w:fill="auto"/>
            <w:vAlign w:val="bottom"/>
            <w:hideMark/>
          </w:tcPr>
          <w:p w14:paraId="5142E53E" w14:textId="77777777" w:rsidR="00363E89" w:rsidRPr="007A6EC1" w:rsidRDefault="00363E89" w:rsidP="006623D7">
            <w:pPr>
              <w:rPr>
                <w:sz w:val="20"/>
                <w:szCs w:val="20"/>
                <w:lang w:val="el-GR"/>
              </w:rPr>
            </w:pPr>
          </w:p>
        </w:tc>
      </w:tr>
      <w:tr w:rsidR="00363E89" w:rsidRPr="00F9367B" w14:paraId="5142E543" w14:textId="77777777" w:rsidTr="006623D7">
        <w:trPr>
          <w:trHeight w:val="282"/>
        </w:trPr>
        <w:tc>
          <w:tcPr>
            <w:tcW w:w="6663" w:type="dxa"/>
            <w:tcBorders>
              <w:top w:val="single" w:sz="4" w:space="0" w:color="4F81BD"/>
              <w:left w:val="nil"/>
              <w:bottom w:val="nil"/>
              <w:right w:val="nil"/>
            </w:tcBorders>
            <w:shd w:val="clear" w:color="auto" w:fill="auto"/>
            <w:hideMark/>
          </w:tcPr>
          <w:p w14:paraId="5142E540" w14:textId="77777777" w:rsidR="00363E89" w:rsidRPr="007A6EC1" w:rsidRDefault="00363E89" w:rsidP="006623D7">
            <w:pPr>
              <w:rPr>
                <w:rFonts w:ascii="Calibri" w:hAnsi="Calibri" w:cs="Calibri"/>
                <w:i/>
                <w:iCs/>
                <w:sz w:val="18"/>
                <w:szCs w:val="18"/>
                <w:lang w:val="el-GR"/>
              </w:rPr>
            </w:pPr>
            <w:r w:rsidRPr="007A6EC1">
              <w:rPr>
                <w:rFonts w:ascii="Calibri" w:hAnsi="Calibri" w:cs="Calibri"/>
                <w:i/>
                <w:iCs/>
                <w:sz w:val="18"/>
                <w:szCs w:val="18"/>
                <w:lang w:val="el-GR"/>
              </w:rPr>
              <w:t>(ποσά σε χιλιάδες €)</w:t>
            </w:r>
          </w:p>
        </w:tc>
        <w:tc>
          <w:tcPr>
            <w:tcW w:w="283" w:type="dxa"/>
            <w:tcBorders>
              <w:top w:val="nil"/>
              <w:left w:val="nil"/>
              <w:bottom w:val="nil"/>
              <w:right w:val="nil"/>
            </w:tcBorders>
            <w:shd w:val="clear" w:color="auto" w:fill="auto"/>
            <w:vAlign w:val="bottom"/>
            <w:hideMark/>
          </w:tcPr>
          <w:p w14:paraId="5142E541" w14:textId="77777777" w:rsidR="00363E89" w:rsidRPr="007A6EC1" w:rsidRDefault="00363E89" w:rsidP="006623D7">
            <w:pPr>
              <w:rPr>
                <w:rFonts w:ascii="Calibri" w:hAnsi="Calibri" w:cs="Calibri"/>
                <w:i/>
                <w:iCs/>
                <w:sz w:val="18"/>
                <w:szCs w:val="18"/>
                <w:lang w:val="el-GR"/>
              </w:rPr>
            </w:pPr>
          </w:p>
        </w:tc>
        <w:tc>
          <w:tcPr>
            <w:tcW w:w="3260" w:type="dxa"/>
            <w:gridSpan w:val="3"/>
            <w:tcBorders>
              <w:top w:val="single" w:sz="4" w:space="0" w:color="4F81BD"/>
              <w:left w:val="nil"/>
              <w:bottom w:val="nil"/>
              <w:right w:val="nil"/>
            </w:tcBorders>
            <w:shd w:val="clear" w:color="auto" w:fill="auto"/>
            <w:noWrap/>
            <w:vAlign w:val="bottom"/>
            <w:hideMark/>
          </w:tcPr>
          <w:p w14:paraId="5142E542" w14:textId="77777777" w:rsidR="00363E89" w:rsidRPr="007A6EC1" w:rsidRDefault="00363E89" w:rsidP="006623D7">
            <w:pPr>
              <w:jc w:val="center"/>
              <w:rPr>
                <w:rFonts w:ascii="Calibri" w:hAnsi="Calibri" w:cs="Calibri"/>
                <w:b/>
                <w:bCs/>
                <w:sz w:val="20"/>
                <w:szCs w:val="20"/>
                <w:lang w:val="el-GR"/>
              </w:rPr>
            </w:pPr>
            <w:r w:rsidRPr="007A6EC1">
              <w:rPr>
                <w:rFonts w:ascii="Calibri" w:hAnsi="Calibri" w:cs="Calibri"/>
                <w:b/>
                <w:bCs/>
                <w:sz w:val="20"/>
                <w:szCs w:val="20"/>
                <w:lang w:val="el-GR"/>
              </w:rPr>
              <w:t>Για το εξάμηνο που έληξε την 30/6</w:t>
            </w:r>
          </w:p>
        </w:tc>
      </w:tr>
      <w:tr w:rsidR="00363E89" w:rsidRPr="007A6EC1" w14:paraId="5142E549" w14:textId="77777777" w:rsidTr="006623D7">
        <w:trPr>
          <w:trHeight w:val="282"/>
        </w:trPr>
        <w:tc>
          <w:tcPr>
            <w:tcW w:w="6663" w:type="dxa"/>
            <w:tcBorders>
              <w:top w:val="nil"/>
              <w:left w:val="nil"/>
              <w:bottom w:val="nil"/>
              <w:right w:val="nil"/>
            </w:tcBorders>
            <w:shd w:val="clear" w:color="auto" w:fill="auto"/>
            <w:vAlign w:val="bottom"/>
            <w:hideMark/>
          </w:tcPr>
          <w:p w14:paraId="5142E544" w14:textId="77777777" w:rsidR="00363E89" w:rsidRPr="007A6EC1" w:rsidRDefault="00363E89" w:rsidP="006623D7">
            <w:pPr>
              <w:jc w:val="center"/>
              <w:rPr>
                <w:rFonts w:ascii="Calibri" w:hAnsi="Calibri" w:cs="Calibri"/>
                <w:b/>
                <w:bCs/>
                <w:sz w:val="20"/>
                <w:szCs w:val="20"/>
                <w:lang w:val="el-GR"/>
              </w:rPr>
            </w:pPr>
          </w:p>
        </w:tc>
        <w:tc>
          <w:tcPr>
            <w:tcW w:w="283" w:type="dxa"/>
            <w:tcBorders>
              <w:top w:val="nil"/>
              <w:left w:val="nil"/>
              <w:bottom w:val="nil"/>
              <w:right w:val="nil"/>
            </w:tcBorders>
            <w:shd w:val="clear" w:color="auto" w:fill="auto"/>
            <w:vAlign w:val="bottom"/>
            <w:hideMark/>
          </w:tcPr>
          <w:p w14:paraId="5142E545" w14:textId="77777777" w:rsidR="00363E89" w:rsidRPr="007A6EC1" w:rsidRDefault="00363E89" w:rsidP="006623D7">
            <w:pPr>
              <w:rPr>
                <w:sz w:val="20"/>
                <w:szCs w:val="20"/>
                <w:lang w:val="el-GR"/>
              </w:rPr>
            </w:pPr>
          </w:p>
        </w:tc>
        <w:tc>
          <w:tcPr>
            <w:tcW w:w="1547" w:type="dxa"/>
            <w:tcBorders>
              <w:top w:val="single" w:sz="4" w:space="0" w:color="4F81BD"/>
              <w:left w:val="nil"/>
              <w:bottom w:val="single" w:sz="4" w:space="0" w:color="auto"/>
              <w:right w:val="nil"/>
            </w:tcBorders>
            <w:shd w:val="clear" w:color="000000" w:fill="F2F2F2"/>
            <w:noWrap/>
            <w:vAlign w:val="bottom"/>
            <w:hideMark/>
          </w:tcPr>
          <w:p w14:paraId="5142E546" w14:textId="77777777" w:rsidR="00363E89" w:rsidRPr="007A6EC1" w:rsidRDefault="00363E89" w:rsidP="006623D7">
            <w:pPr>
              <w:jc w:val="right"/>
              <w:rPr>
                <w:rFonts w:ascii="Calibri" w:hAnsi="Calibri" w:cs="Calibri"/>
                <w:b/>
                <w:bCs/>
                <w:color w:val="000000"/>
                <w:sz w:val="20"/>
                <w:szCs w:val="20"/>
                <w:lang w:val="el-GR"/>
              </w:rPr>
            </w:pPr>
            <w:r w:rsidRPr="007A6EC1">
              <w:rPr>
                <w:rFonts w:ascii="Calibri" w:hAnsi="Calibri" w:cs="Calibri"/>
                <w:b/>
                <w:bCs/>
                <w:color w:val="000000"/>
                <w:sz w:val="20"/>
                <w:szCs w:val="20"/>
                <w:lang w:val="el-GR"/>
              </w:rPr>
              <w:t>2021</w:t>
            </w:r>
          </w:p>
        </w:tc>
        <w:tc>
          <w:tcPr>
            <w:tcW w:w="222" w:type="dxa"/>
            <w:tcBorders>
              <w:top w:val="nil"/>
              <w:left w:val="nil"/>
              <w:bottom w:val="nil"/>
              <w:right w:val="nil"/>
            </w:tcBorders>
            <w:shd w:val="clear" w:color="auto" w:fill="auto"/>
            <w:vAlign w:val="bottom"/>
            <w:hideMark/>
          </w:tcPr>
          <w:p w14:paraId="5142E547" w14:textId="77777777" w:rsidR="00363E89" w:rsidRPr="007A6EC1" w:rsidRDefault="00363E89" w:rsidP="006623D7">
            <w:pPr>
              <w:jc w:val="right"/>
              <w:rPr>
                <w:rFonts w:ascii="Calibri" w:hAnsi="Calibri" w:cs="Calibri"/>
                <w:b/>
                <w:bCs/>
                <w:color w:val="000000"/>
                <w:sz w:val="20"/>
                <w:szCs w:val="20"/>
                <w:lang w:val="el-GR"/>
              </w:rPr>
            </w:pPr>
          </w:p>
        </w:tc>
        <w:tc>
          <w:tcPr>
            <w:tcW w:w="1491" w:type="dxa"/>
            <w:tcBorders>
              <w:top w:val="single" w:sz="4" w:space="0" w:color="4F81BD"/>
              <w:left w:val="nil"/>
              <w:bottom w:val="single" w:sz="4" w:space="0" w:color="auto"/>
              <w:right w:val="nil"/>
            </w:tcBorders>
            <w:shd w:val="clear" w:color="auto" w:fill="auto"/>
            <w:noWrap/>
            <w:vAlign w:val="bottom"/>
            <w:hideMark/>
          </w:tcPr>
          <w:p w14:paraId="5142E548" w14:textId="77777777" w:rsidR="00363E89" w:rsidRPr="007A6EC1" w:rsidRDefault="00363E89" w:rsidP="006623D7">
            <w:pPr>
              <w:jc w:val="right"/>
              <w:rPr>
                <w:rFonts w:ascii="Calibri" w:hAnsi="Calibri" w:cs="Calibri"/>
                <w:b/>
                <w:bCs/>
                <w:color w:val="000000"/>
                <w:sz w:val="20"/>
                <w:szCs w:val="20"/>
                <w:lang w:val="el-GR"/>
              </w:rPr>
            </w:pPr>
            <w:r w:rsidRPr="007A6EC1">
              <w:rPr>
                <w:rFonts w:ascii="Calibri" w:hAnsi="Calibri" w:cs="Calibri"/>
                <w:b/>
                <w:bCs/>
                <w:color w:val="000000"/>
                <w:sz w:val="20"/>
                <w:szCs w:val="20"/>
                <w:lang w:val="el-GR"/>
              </w:rPr>
              <w:t>2020</w:t>
            </w:r>
          </w:p>
        </w:tc>
      </w:tr>
      <w:tr w:rsidR="00363E89" w:rsidRPr="007A6EC1" w14:paraId="5142E54F" w14:textId="77777777" w:rsidTr="006623D7">
        <w:trPr>
          <w:trHeight w:val="169"/>
        </w:trPr>
        <w:tc>
          <w:tcPr>
            <w:tcW w:w="6663" w:type="dxa"/>
            <w:tcBorders>
              <w:top w:val="nil"/>
              <w:left w:val="nil"/>
              <w:bottom w:val="nil"/>
              <w:right w:val="nil"/>
            </w:tcBorders>
            <w:shd w:val="clear" w:color="auto" w:fill="auto"/>
            <w:vAlign w:val="bottom"/>
            <w:hideMark/>
          </w:tcPr>
          <w:p w14:paraId="5142E54A" w14:textId="77777777" w:rsidR="00363E89" w:rsidRPr="007A6EC1" w:rsidRDefault="00363E89" w:rsidP="006623D7">
            <w:pPr>
              <w:jc w:val="right"/>
              <w:rPr>
                <w:rFonts w:ascii="Calibri" w:hAnsi="Calibri" w:cs="Calibri"/>
                <w:b/>
                <w:bCs/>
                <w:color w:val="000000"/>
                <w:sz w:val="20"/>
                <w:szCs w:val="20"/>
                <w:lang w:val="el-GR"/>
              </w:rPr>
            </w:pPr>
          </w:p>
        </w:tc>
        <w:tc>
          <w:tcPr>
            <w:tcW w:w="283" w:type="dxa"/>
            <w:tcBorders>
              <w:top w:val="nil"/>
              <w:left w:val="nil"/>
              <w:bottom w:val="nil"/>
              <w:right w:val="nil"/>
            </w:tcBorders>
            <w:shd w:val="clear" w:color="auto" w:fill="auto"/>
            <w:vAlign w:val="bottom"/>
            <w:hideMark/>
          </w:tcPr>
          <w:p w14:paraId="5142E54B"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noWrap/>
            <w:vAlign w:val="bottom"/>
            <w:hideMark/>
          </w:tcPr>
          <w:p w14:paraId="5142E54C" w14:textId="77777777" w:rsidR="00363E89" w:rsidRPr="007A6EC1" w:rsidRDefault="00363E89" w:rsidP="006623D7">
            <w:pPr>
              <w:rPr>
                <w:sz w:val="20"/>
                <w:szCs w:val="20"/>
                <w:lang w:val="el-GR"/>
              </w:rPr>
            </w:pPr>
          </w:p>
        </w:tc>
        <w:tc>
          <w:tcPr>
            <w:tcW w:w="222" w:type="dxa"/>
            <w:tcBorders>
              <w:top w:val="nil"/>
              <w:left w:val="nil"/>
              <w:bottom w:val="nil"/>
              <w:right w:val="nil"/>
            </w:tcBorders>
            <w:shd w:val="clear" w:color="auto" w:fill="auto"/>
            <w:noWrap/>
            <w:vAlign w:val="bottom"/>
            <w:hideMark/>
          </w:tcPr>
          <w:p w14:paraId="5142E54D" w14:textId="77777777" w:rsidR="00363E89" w:rsidRPr="007A6EC1" w:rsidRDefault="00363E89" w:rsidP="006623D7">
            <w:pPr>
              <w:jc w:val="right"/>
              <w:rPr>
                <w:sz w:val="20"/>
                <w:szCs w:val="20"/>
                <w:lang w:val="el-GR"/>
              </w:rPr>
            </w:pPr>
          </w:p>
        </w:tc>
        <w:tc>
          <w:tcPr>
            <w:tcW w:w="1491" w:type="dxa"/>
            <w:tcBorders>
              <w:top w:val="nil"/>
              <w:left w:val="nil"/>
              <w:bottom w:val="nil"/>
              <w:right w:val="nil"/>
            </w:tcBorders>
            <w:shd w:val="clear" w:color="auto" w:fill="auto"/>
            <w:noWrap/>
            <w:vAlign w:val="bottom"/>
            <w:hideMark/>
          </w:tcPr>
          <w:p w14:paraId="5142E54E" w14:textId="77777777" w:rsidR="00363E89" w:rsidRPr="007A6EC1" w:rsidRDefault="00363E89" w:rsidP="006623D7">
            <w:pPr>
              <w:rPr>
                <w:sz w:val="20"/>
                <w:szCs w:val="20"/>
                <w:lang w:val="el-GR"/>
              </w:rPr>
            </w:pPr>
          </w:p>
        </w:tc>
      </w:tr>
      <w:tr w:rsidR="00363E89" w:rsidRPr="007A6EC1" w14:paraId="5142E555" w14:textId="77777777" w:rsidTr="006623D7">
        <w:trPr>
          <w:trHeight w:val="342"/>
        </w:trPr>
        <w:tc>
          <w:tcPr>
            <w:tcW w:w="6663" w:type="dxa"/>
            <w:tcBorders>
              <w:top w:val="nil"/>
              <w:left w:val="nil"/>
              <w:bottom w:val="single" w:sz="4" w:space="0" w:color="4F81BD"/>
              <w:right w:val="nil"/>
            </w:tcBorders>
            <w:shd w:val="clear" w:color="auto" w:fill="auto"/>
            <w:noWrap/>
            <w:vAlign w:val="bottom"/>
            <w:hideMark/>
          </w:tcPr>
          <w:p w14:paraId="5142E550" w14:textId="77777777" w:rsidR="00363E89" w:rsidRPr="007A6EC1" w:rsidRDefault="00363E89" w:rsidP="006623D7">
            <w:pPr>
              <w:rPr>
                <w:rFonts w:ascii="Calibri" w:hAnsi="Calibri" w:cs="Calibri"/>
                <w:b/>
                <w:bCs/>
                <w:color w:val="4F81BD"/>
                <w:lang w:val="el-GR"/>
              </w:rPr>
            </w:pPr>
            <w:r w:rsidRPr="007A6EC1">
              <w:rPr>
                <w:rFonts w:ascii="Calibri" w:hAnsi="Calibri" w:cs="Calibri"/>
                <w:b/>
                <w:bCs/>
                <w:color w:val="4F81BD"/>
                <w:lang w:val="el-GR"/>
              </w:rPr>
              <w:t>Ταμειακές ροές λειτουργικών δραστηριοτήτων</w:t>
            </w:r>
          </w:p>
        </w:tc>
        <w:tc>
          <w:tcPr>
            <w:tcW w:w="283" w:type="dxa"/>
            <w:tcBorders>
              <w:top w:val="nil"/>
              <w:left w:val="nil"/>
              <w:bottom w:val="nil"/>
              <w:right w:val="nil"/>
            </w:tcBorders>
            <w:shd w:val="clear" w:color="auto" w:fill="auto"/>
            <w:noWrap/>
            <w:vAlign w:val="bottom"/>
            <w:hideMark/>
          </w:tcPr>
          <w:p w14:paraId="5142E551" w14:textId="77777777" w:rsidR="00363E89" w:rsidRPr="007A6EC1" w:rsidRDefault="00363E89" w:rsidP="006623D7">
            <w:pPr>
              <w:rPr>
                <w:rFonts w:ascii="Calibri" w:hAnsi="Calibri" w:cs="Calibri"/>
                <w:b/>
                <w:bCs/>
                <w:color w:val="4F81BD"/>
                <w:lang w:val="el-GR"/>
              </w:rPr>
            </w:pPr>
          </w:p>
        </w:tc>
        <w:tc>
          <w:tcPr>
            <w:tcW w:w="1547" w:type="dxa"/>
            <w:tcBorders>
              <w:top w:val="nil"/>
              <w:left w:val="nil"/>
              <w:bottom w:val="single" w:sz="4" w:space="0" w:color="4F81BD"/>
              <w:right w:val="nil"/>
            </w:tcBorders>
            <w:shd w:val="clear" w:color="000000" w:fill="FFFFFF"/>
            <w:noWrap/>
            <w:vAlign w:val="bottom"/>
            <w:hideMark/>
          </w:tcPr>
          <w:p w14:paraId="5142E552" w14:textId="77777777" w:rsidR="00363E89" w:rsidRPr="007A6EC1" w:rsidRDefault="00363E89" w:rsidP="006623D7">
            <w:pPr>
              <w:jc w:val="right"/>
              <w:rPr>
                <w:rFonts w:ascii="Calibri" w:hAnsi="Calibri" w:cs="Calibri"/>
                <w:sz w:val="20"/>
                <w:szCs w:val="20"/>
                <w:lang w:val="el-GR"/>
              </w:rPr>
            </w:pPr>
            <w:r w:rsidRPr="007A6EC1">
              <w:rPr>
                <w:rFonts w:ascii="Calibri" w:hAnsi="Calibri" w:cs="Calibri"/>
                <w:sz w:val="20"/>
                <w:szCs w:val="20"/>
                <w:lang w:val="el-GR"/>
              </w:rPr>
              <w:t> </w:t>
            </w:r>
          </w:p>
        </w:tc>
        <w:tc>
          <w:tcPr>
            <w:tcW w:w="222" w:type="dxa"/>
            <w:tcBorders>
              <w:top w:val="nil"/>
              <w:left w:val="nil"/>
              <w:bottom w:val="nil"/>
              <w:right w:val="nil"/>
            </w:tcBorders>
            <w:shd w:val="clear" w:color="auto" w:fill="auto"/>
            <w:noWrap/>
            <w:vAlign w:val="bottom"/>
            <w:hideMark/>
          </w:tcPr>
          <w:p w14:paraId="5142E553" w14:textId="77777777" w:rsidR="00363E89" w:rsidRPr="007A6EC1" w:rsidRDefault="00363E89" w:rsidP="006623D7">
            <w:pPr>
              <w:jc w:val="right"/>
              <w:rPr>
                <w:rFonts w:ascii="Calibri" w:hAnsi="Calibri" w:cs="Calibri"/>
                <w:sz w:val="20"/>
                <w:szCs w:val="20"/>
                <w:lang w:val="el-GR"/>
              </w:rPr>
            </w:pPr>
          </w:p>
        </w:tc>
        <w:tc>
          <w:tcPr>
            <w:tcW w:w="1491" w:type="dxa"/>
            <w:tcBorders>
              <w:top w:val="nil"/>
              <w:left w:val="nil"/>
              <w:bottom w:val="nil"/>
              <w:right w:val="nil"/>
            </w:tcBorders>
            <w:shd w:val="clear" w:color="auto" w:fill="auto"/>
            <w:noWrap/>
            <w:vAlign w:val="bottom"/>
            <w:hideMark/>
          </w:tcPr>
          <w:p w14:paraId="5142E554" w14:textId="77777777" w:rsidR="00363E89" w:rsidRPr="007A6EC1" w:rsidRDefault="00363E89" w:rsidP="006623D7">
            <w:pPr>
              <w:rPr>
                <w:sz w:val="20"/>
                <w:szCs w:val="20"/>
                <w:lang w:val="el-GR"/>
              </w:rPr>
            </w:pPr>
          </w:p>
        </w:tc>
      </w:tr>
      <w:tr w:rsidR="00363E89" w:rsidRPr="007A6EC1" w14:paraId="5142E55B" w14:textId="77777777" w:rsidTr="006623D7">
        <w:trPr>
          <w:trHeight w:val="282"/>
        </w:trPr>
        <w:tc>
          <w:tcPr>
            <w:tcW w:w="6663" w:type="dxa"/>
            <w:tcBorders>
              <w:top w:val="nil"/>
              <w:left w:val="nil"/>
              <w:bottom w:val="nil"/>
              <w:right w:val="nil"/>
            </w:tcBorders>
            <w:shd w:val="clear" w:color="auto" w:fill="auto"/>
            <w:noWrap/>
            <w:vAlign w:val="bottom"/>
            <w:hideMark/>
          </w:tcPr>
          <w:p w14:paraId="5142E556"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Κέρδη μετά από φόρους</w:t>
            </w:r>
          </w:p>
        </w:tc>
        <w:tc>
          <w:tcPr>
            <w:tcW w:w="283" w:type="dxa"/>
            <w:tcBorders>
              <w:top w:val="nil"/>
              <w:left w:val="nil"/>
              <w:bottom w:val="nil"/>
              <w:right w:val="nil"/>
            </w:tcBorders>
            <w:shd w:val="clear" w:color="auto" w:fill="auto"/>
            <w:noWrap/>
            <w:vAlign w:val="bottom"/>
            <w:hideMark/>
          </w:tcPr>
          <w:p w14:paraId="5142E557" w14:textId="77777777" w:rsidR="00363E89" w:rsidRPr="007A6EC1" w:rsidRDefault="00363E89" w:rsidP="006623D7">
            <w:pPr>
              <w:rPr>
                <w:rFonts w:ascii="Calibri" w:hAnsi="Calibri" w:cs="Calibri"/>
                <w:b/>
                <w:bCs/>
                <w:sz w:val="21"/>
                <w:szCs w:val="21"/>
                <w:lang w:val="el-GR"/>
              </w:rPr>
            </w:pPr>
          </w:p>
        </w:tc>
        <w:tc>
          <w:tcPr>
            <w:tcW w:w="1547" w:type="dxa"/>
            <w:tcBorders>
              <w:top w:val="nil"/>
              <w:left w:val="nil"/>
              <w:bottom w:val="nil"/>
              <w:right w:val="nil"/>
            </w:tcBorders>
            <w:shd w:val="clear" w:color="000000" w:fill="F2F2F2"/>
            <w:noWrap/>
            <w:vAlign w:val="bottom"/>
            <w:hideMark/>
          </w:tcPr>
          <w:p w14:paraId="5142E558"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58.012</w:t>
            </w:r>
          </w:p>
        </w:tc>
        <w:tc>
          <w:tcPr>
            <w:tcW w:w="222" w:type="dxa"/>
            <w:tcBorders>
              <w:top w:val="nil"/>
              <w:left w:val="nil"/>
              <w:bottom w:val="nil"/>
              <w:right w:val="nil"/>
            </w:tcBorders>
            <w:shd w:val="clear" w:color="auto" w:fill="auto"/>
            <w:noWrap/>
            <w:vAlign w:val="bottom"/>
            <w:hideMark/>
          </w:tcPr>
          <w:p w14:paraId="5142E559" w14:textId="77777777" w:rsidR="00363E89" w:rsidRPr="007A6EC1" w:rsidRDefault="00363E89" w:rsidP="006623D7">
            <w:pPr>
              <w:jc w:val="right"/>
              <w:rPr>
                <w:rFonts w:ascii="Calibri" w:hAnsi="Calibri" w:cs="Calibri"/>
                <w:b/>
                <w:bCs/>
                <w:sz w:val="21"/>
                <w:szCs w:val="21"/>
                <w:lang w:val="el-GR"/>
              </w:rPr>
            </w:pPr>
          </w:p>
        </w:tc>
        <w:tc>
          <w:tcPr>
            <w:tcW w:w="1491" w:type="dxa"/>
            <w:tcBorders>
              <w:top w:val="single" w:sz="4" w:space="0" w:color="auto"/>
              <w:left w:val="nil"/>
              <w:bottom w:val="single" w:sz="4" w:space="0" w:color="4F81BD"/>
              <w:right w:val="nil"/>
            </w:tcBorders>
            <w:shd w:val="clear" w:color="auto" w:fill="auto"/>
            <w:noWrap/>
            <w:vAlign w:val="bottom"/>
            <w:hideMark/>
          </w:tcPr>
          <w:p w14:paraId="5142E55A"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22.044</w:t>
            </w:r>
          </w:p>
        </w:tc>
      </w:tr>
      <w:tr w:rsidR="00363E89" w:rsidRPr="007A6EC1" w14:paraId="5142E561" w14:textId="77777777" w:rsidTr="006623D7">
        <w:trPr>
          <w:trHeight w:val="282"/>
        </w:trPr>
        <w:tc>
          <w:tcPr>
            <w:tcW w:w="6663" w:type="dxa"/>
            <w:tcBorders>
              <w:top w:val="single" w:sz="4" w:space="0" w:color="000000"/>
              <w:left w:val="nil"/>
              <w:bottom w:val="single" w:sz="4" w:space="0" w:color="000000"/>
              <w:right w:val="nil"/>
            </w:tcBorders>
            <w:shd w:val="clear" w:color="auto" w:fill="auto"/>
            <w:noWrap/>
            <w:vAlign w:val="bottom"/>
            <w:hideMark/>
          </w:tcPr>
          <w:p w14:paraId="5142E55C"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Αποσβέσεις και </w:t>
            </w:r>
            <w:proofErr w:type="spellStart"/>
            <w:r w:rsidRPr="007A6EC1">
              <w:rPr>
                <w:rFonts w:ascii="Calibri" w:hAnsi="Calibri" w:cs="Calibri"/>
                <w:sz w:val="21"/>
                <w:szCs w:val="21"/>
                <w:lang w:val="el-GR"/>
              </w:rPr>
              <w:t>απομειώσεις</w:t>
            </w:r>
            <w:proofErr w:type="spellEnd"/>
            <w:r w:rsidRPr="007A6EC1">
              <w:rPr>
                <w:rFonts w:ascii="Calibri" w:hAnsi="Calibri" w:cs="Calibri"/>
                <w:sz w:val="21"/>
                <w:szCs w:val="21"/>
                <w:lang w:val="el-GR"/>
              </w:rPr>
              <w:t xml:space="preserve"> ενσώματων και ασώματων ακινητοποιήσεων</w:t>
            </w:r>
          </w:p>
        </w:tc>
        <w:tc>
          <w:tcPr>
            <w:tcW w:w="283" w:type="dxa"/>
            <w:tcBorders>
              <w:top w:val="nil"/>
              <w:left w:val="nil"/>
              <w:bottom w:val="nil"/>
              <w:right w:val="nil"/>
            </w:tcBorders>
            <w:shd w:val="clear" w:color="auto" w:fill="auto"/>
            <w:noWrap/>
            <w:vAlign w:val="bottom"/>
            <w:hideMark/>
          </w:tcPr>
          <w:p w14:paraId="5142E55D" w14:textId="77777777" w:rsidR="00363E89" w:rsidRPr="007A6EC1" w:rsidRDefault="00363E89" w:rsidP="006623D7">
            <w:pPr>
              <w:rPr>
                <w:rFonts w:ascii="Calibri" w:hAnsi="Calibri" w:cs="Calibri"/>
                <w:sz w:val="21"/>
                <w:szCs w:val="21"/>
                <w:lang w:val="el-GR"/>
              </w:rPr>
            </w:pPr>
          </w:p>
        </w:tc>
        <w:tc>
          <w:tcPr>
            <w:tcW w:w="1547" w:type="dxa"/>
            <w:tcBorders>
              <w:top w:val="single" w:sz="4" w:space="0" w:color="000000"/>
              <w:left w:val="nil"/>
              <w:bottom w:val="single" w:sz="4" w:space="0" w:color="000000"/>
              <w:right w:val="nil"/>
            </w:tcBorders>
            <w:shd w:val="clear" w:color="000000" w:fill="F2F2F2"/>
            <w:noWrap/>
            <w:vAlign w:val="bottom"/>
            <w:hideMark/>
          </w:tcPr>
          <w:p w14:paraId="5142E55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65.599</w:t>
            </w:r>
          </w:p>
        </w:tc>
        <w:tc>
          <w:tcPr>
            <w:tcW w:w="222" w:type="dxa"/>
            <w:tcBorders>
              <w:top w:val="nil"/>
              <w:left w:val="nil"/>
              <w:bottom w:val="nil"/>
              <w:right w:val="nil"/>
            </w:tcBorders>
            <w:shd w:val="clear" w:color="auto" w:fill="auto"/>
            <w:noWrap/>
            <w:vAlign w:val="bottom"/>
            <w:hideMark/>
          </w:tcPr>
          <w:p w14:paraId="5142E55F"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000000"/>
              <w:left w:val="nil"/>
              <w:bottom w:val="single" w:sz="4" w:space="0" w:color="000000"/>
              <w:right w:val="nil"/>
            </w:tcBorders>
            <w:shd w:val="clear" w:color="auto" w:fill="auto"/>
            <w:noWrap/>
            <w:vAlign w:val="bottom"/>
            <w:hideMark/>
          </w:tcPr>
          <w:p w14:paraId="5142E56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70.448</w:t>
            </w:r>
          </w:p>
        </w:tc>
      </w:tr>
      <w:tr w:rsidR="00363E89" w:rsidRPr="007A6EC1" w14:paraId="5142E567" w14:textId="77777777" w:rsidTr="006623D7">
        <w:trPr>
          <w:trHeight w:val="282"/>
        </w:trPr>
        <w:tc>
          <w:tcPr>
            <w:tcW w:w="6663" w:type="dxa"/>
            <w:tcBorders>
              <w:top w:val="nil"/>
              <w:left w:val="nil"/>
              <w:bottom w:val="single" w:sz="4" w:space="0" w:color="000000"/>
              <w:right w:val="nil"/>
            </w:tcBorders>
            <w:shd w:val="clear" w:color="auto" w:fill="auto"/>
            <w:noWrap/>
            <w:vAlign w:val="bottom"/>
            <w:hideMark/>
          </w:tcPr>
          <w:p w14:paraId="5142E562" w14:textId="77777777" w:rsidR="00363E89" w:rsidRPr="007A6EC1" w:rsidRDefault="00363E89" w:rsidP="006623D7">
            <w:pPr>
              <w:rPr>
                <w:rFonts w:ascii="Calibri" w:hAnsi="Calibri" w:cs="Calibri"/>
                <w:sz w:val="21"/>
                <w:szCs w:val="21"/>
                <w:lang w:val="el-GR"/>
              </w:rPr>
            </w:pPr>
            <w:proofErr w:type="spellStart"/>
            <w:r w:rsidRPr="007A6EC1">
              <w:rPr>
                <w:rFonts w:ascii="Calibri" w:hAnsi="Calibri" w:cs="Calibri"/>
                <w:sz w:val="21"/>
                <w:szCs w:val="21"/>
                <w:lang w:val="el-GR"/>
              </w:rPr>
              <w:t>Tόκοι</w:t>
            </w:r>
            <w:proofErr w:type="spellEnd"/>
            <w:r w:rsidRPr="007A6EC1">
              <w:rPr>
                <w:rFonts w:ascii="Calibri" w:hAnsi="Calibri" w:cs="Calibri"/>
                <w:sz w:val="21"/>
                <w:szCs w:val="21"/>
                <w:lang w:val="el-GR"/>
              </w:rPr>
              <w:t xml:space="preserve"> και συναφή έξοδα</w:t>
            </w:r>
          </w:p>
        </w:tc>
        <w:tc>
          <w:tcPr>
            <w:tcW w:w="283" w:type="dxa"/>
            <w:tcBorders>
              <w:top w:val="nil"/>
              <w:left w:val="nil"/>
              <w:bottom w:val="nil"/>
              <w:right w:val="nil"/>
            </w:tcBorders>
            <w:shd w:val="clear" w:color="auto" w:fill="auto"/>
            <w:noWrap/>
            <w:vAlign w:val="bottom"/>
            <w:hideMark/>
          </w:tcPr>
          <w:p w14:paraId="5142E563"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6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15.439</w:t>
            </w:r>
          </w:p>
        </w:tc>
        <w:tc>
          <w:tcPr>
            <w:tcW w:w="222" w:type="dxa"/>
            <w:tcBorders>
              <w:top w:val="nil"/>
              <w:left w:val="nil"/>
              <w:bottom w:val="nil"/>
              <w:right w:val="nil"/>
            </w:tcBorders>
            <w:shd w:val="clear" w:color="auto" w:fill="auto"/>
            <w:noWrap/>
            <w:vAlign w:val="bottom"/>
            <w:hideMark/>
          </w:tcPr>
          <w:p w14:paraId="5142E565"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6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31.479</w:t>
            </w:r>
          </w:p>
        </w:tc>
      </w:tr>
      <w:tr w:rsidR="00363E89" w:rsidRPr="007A6EC1" w14:paraId="5142E56D" w14:textId="77777777" w:rsidTr="006623D7">
        <w:trPr>
          <w:trHeight w:val="282"/>
        </w:trPr>
        <w:tc>
          <w:tcPr>
            <w:tcW w:w="6663" w:type="dxa"/>
            <w:tcBorders>
              <w:top w:val="nil"/>
              <w:left w:val="nil"/>
              <w:bottom w:val="single" w:sz="4" w:space="0" w:color="000000"/>
              <w:right w:val="nil"/>
            </w:tcBorders>
            <w:shd w:val="clear" w:color="auto" w:fill="auto"/>
            <w:noWrap/>
            <w:vAlign w:val="bottom"/>
            <w:hideMark/>
          </w:tcPr>
          <w:p w14:paraId="5142E568"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Προβλέψεις</w:t>
            </w:r>
          </w:p>
        </w:tc>
        <w:tc>
          <w:tcPr>
            <w:tcW w:w="283" w:type="dxa"/>
            <w:tcBorders>
              <w:top w:val="nil"/>
              <w:left w:val="nil"/>
              <w:bottom w:val="nil"/>
              <w:right w:val="nil"/>
            </w:tcBorders>
            <w:shd w:val="clear" w:color="auto" w:fill="auto"/>
            <w:noWrap/>
            <w:vAlign w:val="bottom"/>
            <w:hideMark/>
          </w:tcPr>
          <w:p w14:paraId="5142E569"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6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2.104</w:t>
            </w:r>
          </w:p>
        </w:tc>
        <w:tc>
          <w:tcPr>
            <w:tcW w:w="222" w:type="dxa"/>
            <w:tcBorders>
              <w:top w:val="nil"/>
              <w:left w:val="nil"/>
              <w:bottom w:val="nil"/>
              <w:right w:val="nil"/>
            </w:tcBorders>
            <w:shd w:val="clear" w:color="auto" w:fill="auto"/>
            <w:noWrap/>
            <w:vAlign w:val="bottom"/>
            <w:hideMark/>
          </w:tcPr>
          <w:p w14:paraId="5142E56B"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6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3.693</w:t>
            </w:r>
          </w:p>
        </w:tc>
      </w:tr>
      <w:tr w:rsidR="00363E89" w:rsidRPr="007A6EC1" w14:paraId="5142E573" w14:textId="77777777" w:rsidTr="006623D7">
        <w:trPr>
          <w:trHeight w:val="282"/>
        </w:trPr>
        <w:tc>
          <w:tcPr>
            <w:tcW w:w="6663" w:type="dxa"/>
            <w:tcBorders>
              <w:top w:val="nil"/>
              <w:left w:val="nil"/>
              <w:bottom w:val="single" w:sz="4" w:space="0" w:color="000000"/>
              <w:right w:val="nil"/>
            </w:tcBorders>
            <w:shd w:val="clear" w:color="auto" w:fill="auto"/>
            <w:noWrap/>
            <w:vAlign w:val="bottom"/>
            <w:hideMark/>
          </w:tcPr>
          <w:p w14:paraId="5142E56E"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Λοιπές μη ταμειακές προσαρμογές</w:t>
            </w:r>
          </w:p>
        </w:tc>
        <w:tc>
          <w:tcPr>
            <w:tcW w:w="283" w:type="dxa"/>
            <w:tcBorders>
              <w:top w:val="nil"/>
              <w:left w:val="nil"/>
              <w:bottom w:val="nil"/>
              <w:right w:val="nil"/>
            </w:tcBorders>
            <w:shd w:val="clear" w:color="auto" w:fill="auto"/>
            <w:noWrap/>
            <w:vAlign w:val="bottom"/>
            <w:hideMark/>
          </w:tcPr>
          <w:p w14:paraId="5142E56F"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7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3.039</w:t>
            </w:r>
          </w:p>
        </w:tc>
        <w:tc>
          <w:tcPr>
            <w:tcW w:w="222" w:type="dxa"/>
            <w:tcBorders>
              <w:top w:val="nil"/>
              <w:left w:val="nil"/>
              <w:bottom w:val="nil"/>
              <w:right w:val="nil"/>
            </w:tcBorders>
            <w:shd w:val="clear" w:color="auto" w:fill="auto"/>
            <w:noWrap/>
            <w:vAlign w:val="bottom"/>
            <w:hideMark/>
          </w:tcPr>
          <w:p w14:paraId="5142E571"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7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13.340</w:t>
            </w:r>
          </w:p>
        </w:tc>
      </w:tr>
      <w:tr w:rsidR="00363E89" w:rsidRPr="007A6EC1" w14:paraId="5142E579" w14:textId="77777777" w:rsidTr="006623D7">
        <w:trPr>
          <w:trHeight w:val="282"/>
        </w:trPr>
        <w:tc>
          <w:tcPr>
            <w:tcW w:w="6663" w:type="dxa"/>
            <w:tcBorders>
              <w:top w:val="nil"/>
              <w:left w:val="nil"/>
              <w:bottom w:val="single" w:sz="4" w:space="0" w:color="000000"/>
              <w:right w:val="nil"/>
            </w:tcBorders>
            <w:shd w:val="clear" w:color="auto" w:fill="auto"/>
            <w:noWrap/>
            <w:vAlign w:val="bottom"/>
            <w:hideMark/>
          </w:tcPr>
          <w:p w14:paraId="5142E574"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Καταβεβλημένοι φόροι εισοδήματος</w:t>
            </w:r>
          </w:p>
        </w:tc>
        <w:tc>
          <w:tcPr>
            <w:tcW w:w="283" w:type="dxa"/>
            <w:tcBorders>
              <w:top w:val="nil"/>
              <w:left w:val="nil"/>
              <w:bottom w:val="nil"/>
              <w:right w:val="nil"/>
            </w:tcBorders>
            <w:shd w:val="clear" w:color="auto" w:fill="auto"/>
            <w:noWrap/>
            <w:vAlign w:val="bottom"/>
            <w:hideMark/>
          </w:tcPr>
          <w:p w14:paraId="5142E575"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7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-4.037</w:t>
            </w:r>
          </w:p>
        </w:tc>
        <w:tc>
          <w:tcPr>
            <w:tcW w:w="222" w:type="dxa"/>
            <w:tcBorders>
              <w:top w:val="nil"/>
              <w:left w:val="nil"/>
              <w:bottom w:val="nil"/>
              <w:right w:val="nil"/>
            </w:tcBorders>
            <w:shd w:val="clear" w:color="auto" w:fill="auto"/>
            <w:noWrap/>
            <w:vAlign w:val="bottom"/>
            <w:hideMark/>
          </w:tcPr>
          <w:p w14:paraId="5142E577"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7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-2.144</w:t>
            </w:r>
          </w:p>
        </w:tc>
      </w:tr>
      <w:tr w:rsidR="00363E89" w:rsidRPr="007A6EC1" w14:paraId="5142E57F" w14:textId="77777777" w:rsidTr="006623D7">
        <w:trPr>
          <w:trHeight w:val="282"/>
        </w:trPr>
        <w:tc>
          <w:tcPr>
            <w:tcW w:w="6663" w:type="dxa"/>
            <w:tcBorders>
              <w:top w:val="nil"/>
              <w:left w:val="nil"/>
              <w:bottom w:val="nil"/>
              <w:right w:val="nil"/>
            </w:tcBorders>
            <w:shd w:val="clear" w:color="auto" w:fill="auto"/>
            <w:noWrap/>
            <w:vAlign w:val="bottom"/>
            <w:hideMark/>
          </w:tcPr>
          <w:p w14:paraId="5142E57A"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Μεταβολές στο κεφάλαιο κίνησης</w:t>
            </w:r>
          </w:p>
        </w:tc>
        <w:tc>
          <w:tcPr>
            <w:tcW w:w="283" w:type="dxa"/>
            <w:tcBorders>
              <w:top w:val="nil"/>
              <w:left w:val="nil"/>
              <w:bottom w:val="nil"/>
              <w:right w:val="nil"/>
            </w:tcBorders>
            <w:shd w:val="clear" w:color="auto" w:fill="auto"/>
            <w:noWrap/>
            <w:vAlign w:val="bottom"/>
            <w:hideMark/>
          </w:tcPr>
          <w:p w14:paraId="5142E57B"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nil"/>
              <w:right w:val="nil"/>
            </w:tcBorders>
            <w:shd w:val="clear" w:color="000000" w:fill="F2F2F2"/>
            <w:noWrap/>
            <w:vAlign w:val="bottom"/>
            <w:hideMark/>
          </w:tcPr>
          <w:p w14:paraId="5142E57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-29.350</w:t>
            </w:r>
          </w:p>
        </w:tc>
        <w:tc>
          <w:tcPr>
            <w:tcW w:w="222" w:type="dxa"/>
            <w:tcBorders>
              <w:top w:val="nil"/>
              <w:left w:val="nil"/>
              <w:bottom w:val="nil"/>
              <w:right w:val="nil"/>
            </w:tcBorders>
            <w:shd w:val="clear" w:color="auto" w:fill="auto"/>
            <w:noWrap/>
            <w:vAlign w:val="bottom"/>
            <w:hideMark/>
          </w:tcPr>
          <w:p w14:paraId="5142E57D"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nil"/>
              <w:right w:val="nil"/>
            </w:tcBorders>
            <w:shd w:val="clear" w:color="auto" w:fill="auto"/>
            <w:noWrap/>
            <w:vAlign w:val="bottom"/>
            <w:hideMark/>
          </w:tcPr>
          <w:p w14:paraId="5142E57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-31.535</w:t>
            </w:r>
          </w:p>
        </w:tc>
      </w:tr>
      <w:tr w:rsidR="00363E89" w:rsidRPr="007A6EC1" w14:paraId="5142E585" w14:textId="77777777" w:rsidTr="006623D7">
        <w:trPr>
          <w:trHeight w:val="270"/>
        </w:trPr>
        <w:tc>
          <w:tcPr>
            <w:tcW w:w="6663" w:type="dxa"/>
            <w:tcBorders>
              <w:top w:val="single" w:sz="4" w:space="0" w:color="4F81BD"/>
              <w:left w:val="nil"/>
              <w:bottom w:val="single" w:sz="4" w:space="0" w:color="auto"/>
              <w:right w:val="nil"/>
            </w:tcBorders>
            <w:shd w:val="clear" w:color="auto" w:fill="auto"/>
            <w:noWrap/>
            <w:vAlign w:val="bottom"/>
            <w:hideMark/>
          </w:tcPr>
          <w:p w14:paraId="5142E580"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εισροών από λειτουργικές δραστηριότητες (α)</w:t>
            </w:r>
          </w:p>
        </w:tc>
        <w:tc>
          <w:tcPr>
            <w:tcW w:w="283" w:type="dxa"/>
            <w:tcBorders>
              <w:top w:val="nil"/>
              <w:left w:val="nil"/>
              <w:bottom w:val="nil"/>
              <w:right w:val="nil"/>
            </w:tcBorders>
            <w:shd w:val="clear" w:color="auto" w:fill="auto"/>
            <w:noWrap/>
            <w:vAlign w:val="bottom"/>
            <w:hideMark/>
          </w:tcPr>
          <w:p w14:paraId="5142E581" w14:textId="77777777" w:rsidR="00363E89" w:rsidRPr="007A6EC1" w:rsidRDefault="00363E89" w:rsidP="006623D7">
            <w:pPr>
              <w:rPr>
                <w:rFonts w:ascii="Calibri" w:hAnsi="Calibri" w:cs="Calibri"/>
                <w:b/>
                <w:bCs/>
                <w:sz w:val="21"/>
                <w:szCs w:val="21"/>
                <w:lang w:val="el-GR"/>
              </w:rPr>
            </w:pPr>
          </w:p>
        </w:tc>
        <w:tc>
          <w:tcPr>
            <w:tcW w:w="1547" w:type="dxa"/>
            <w:tcBorders>
              <w:top w:val="single" w:sz="4" w:space="0" w:color="4F81BD"/>
              <w:left w:val="nil"/>
              <w:bottom w:val="single" w:sz="4" w:space="0" w:color="auto"/>
              <w:right w:val="nil"/>
            </w:tcBorders>
            <w:shd w:val="clear" w:color="000000" w:fill="F2F2F2"/>
            <w:noWrap/>
            <w:vAlign w:val="bottom"/>
            <w:hideMark/>
          </w:tcPr>
          <w:p w14:paraId="5142E58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110.806</w:t>
            </w:r>
          </w:p>
        </w:tc>
        <w:tc>
          <w:tcPr>
            <w:tcW w:w="222" w:type="dxa"/>
            <w:tcBorders>
              <w:top w:val="nil"/>
              <w:left w:val="nil"/>
              <w:bottom w:val="nil"/>
              <w:right w:val="nil"/>
            </w:tcBorders>
            <w:shd w:val="clear" w:color="auto" w:fill="auto"/>
            <w:noWrap/>
            <w:vAlign w:val="bottom"/>
            <w:hideMark/>
          </w:tcPr>
          <w:p w14:paraId="5142E583" w14:textId="77777777" w:rsidR="00363E89" w:rsidRPr="007A6EC1" w:rsidRDefault="00363E89" w:rsidP="006623D7">
            <w:pPr>
              <w:jc w:val="right"/>
              <w:rPr>
                <w:rFonts w:ascii="Calibri" w:hAnsi="Calibri" w:cs="Calibri"/>
                <w:b/>
                <w:bCs/>
                <w:sz w:val="21"/>
                <w:szCs w:val="21"/>
                <w:lang w:val="el-GR"/>
              </w:rPr>
            </w:pPr>
          </w:p>
        </w:tc>
        <w:tc>
          <w:tcPr>
            <w:tcW w:w="1491" w:type="dxa"/>
            <w:tcBorders>
              <w:top w:val="single" w:sz="4" w:space="0" w:color="4F81BD"/>
              <w:left w:val="nil"/>
              <w:bottom w:val="single" w:sz="4" w:space="0" w:color="auto"/>
              <w:right w:val="nil"/>
            </w:tcBorders>
            <w:shd w:val="clear" w:color="auto" w:fill="auto"/>
            <w:noWrap/>
            <w:vAlign w:val="bottom"/>
            <w:hideMark/>
          </w:tcPr>
          <w:p w14:paraId="5142E58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107.325</w:t>
            </w:r>
          </w:p>
        </w:tc>
      </w:tr>
      <w:tr w:rsidR="00363E89" w:rsidRPr="007A6EC1" w14:paraId="5142E58B" w14:textId="77777777" w:rsidTr="006623D7">
        <w:trPr>
          <w:trHeight w:val="169"/>
        </w:trPr>
        <w:tc>
          <w:tcPr>
            <w:tcW w:w="6663" w:type="dxa"/>
            <w:tcBorders>
              <w:top w:val="nil"/>
              <w:left w:val="nil"/>
              <w:bottom w:val="nil"/>
              <w:right w:val="nil"/>
            </w:tcBorders>
            <w:shd w:val="clear" w:color="auto" w:fill="auto"/>
            <w:noWrap/>
            <w:vAlign w:val="bottom"/>
            <w:hideMark/>
          </w:tcPr>
          <w:p w14:paraId="5142E586"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587"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noWrap/>
            <w:vAlign w:val="bottom"/>
            <w:hideMark/>
          </w:tcPr>
          <w:p w14:paraId="5142E588" w14:textId="77777777" w:rsidR="00363E89" w:rsidRPr="007A6EC1" w:rsidRDefault="00363E89" w:rsidP="006623D7">
            <w:pPr>
              <w:rPr>
                <w:sz w:val="20"/>
                <w:szCs w:val="20"/>
                <w:lang w:val="el-GR"/>
              </w:rPr>
            </w:pPr>
          </w:p>
        </w:tc>
        <w:tc>
          <w:tcPr>
            <w:tcW w:w="222" w:type="dxa"/>
            <w:tcBorders>
              <w:top w:val="nil"/>
              <w:left w:val="nil"/>
              <w:bottom w:val="nil"/>
              <w:right w:val="nil"/>
            </w:tcBorders>
            <w:shd w:val="clear" w:color="auto" w:fill="auto"/>
            <w:noWrap/>
            <w:vAlign w:val="bottom"/>
            <w:hideMark/>
          </w:tcPr>
          <w:p w14:paraId="5142E589" w14:textId="77777777" w:rsidR="00363E89" w:rsidRPr="007A6EC1" w:rsidRDefault="00363E89" w:rsidP="006623D7">
            <w:pPr>
              <w:jc w:val="right"/>
              <w:rPr>
                <w:sz w:val="20"/>
                <w:szCs w:val="20"/>
                <w:lang w:val="el-GR"/>
              </w:rPr>
            </w:pPr>
          </w:p>
        </w:tc>
        <w:tc>
          <w:tcPr>
            <w:tcW w:w="1491" w:type="dxa"/>
            <w:tcBorders>
              <w:top w:val="nil"/>
              <w:left w:val="nil"/>
              <w:bottom w:val="nil"/>
              <w:right w:val="nil"/>
            </w:tcBorders>
            <w:shd w:val="clear" w:color="auto" w:fill="auto"/>
            <w:noWrap/>
            <w:vAlign w:val="bottom"/>
            <w:hideMark/>
          </w:tcPr>
          <w:p w14:paraId="5142E58A" w14:textId="77777777" w:rsidR="00363E89" w:rsidRPr="007A6EC1" w:rsidRDefault="00363E89" w:rsidP="006623D7">
            <w:pPr>
              <w:jc w:val="right"/>
              <w:rPr>
                <w:sz w:val="20"/>
                <w:szCs w:val="20"/>
                <w:lang w:val="el-GR"/>
              </w:rPr>
            </w:pPr>
          </w:p>
        </w:tc>
      </w:tr>
      <w:tr w:rsidR="00363E89" w:rsidRPr="007A6EC1" w14:paraId="5142E591" w14:textId="77777777" w:rsidTr="006623D7">
        <w:trPr>
          <w:trHeight w:val="342"/>
        </w:trPr>
        <w:tc>
          <w:tcPr>
            <w:tcW w:w="6663" w:type="dxa"/>
            <w:tcBorders>
              <w:top w:val="nil"/>
              <w:left w:val="nil"/>
              <w:bottom w:val="single" w:sz="4" w:space="0" w:color="4F81BD"/>
              <w:right w:val="nil"/>
            </w:tcBorders>
            <w:shd w:val="clear" w:color="auto" w:fill="auto"/>
            <w:noWrap/>
            <w:vAlign w:val="bottom"/>
            <w:hideMark/>
          </w:tcPr>
          <w:p w14:paraId="5142E58C" w14:textId="77777777" w:rsidR="00363E89" w:rsidRPr="007A6EC1" w:rsidRDefault="00363E89" w:rsidP="006623D7">
            <w:pPr>
              <w:rPr>
                <w:rFonts w:ascii="Calibri" w:hAnsi="Calibri" w:cs="Calibri"/>
                <w:b/>
                <w:bCs/>
                <w:color w:val="4F81BD"/>
                <w:lang w:val="el-GR"/>
              </w:rPr>
            </w:pPr>
            <w:r w:rsidRPr="007A6EC1">
              <w:rPr>
                <w:rFonts w:ascii="Calibri" w:hAnsi="Calibri" w:cs="Calibri"/>
                <w:b/>
                <w:bCs/>
                <w:color w:val="4F81BD"/>
                <w:lang w:val="el-GR"/>
              </w:rPr>
              <w:t>Ταμειακές ροές επενδυτικών δραστηριοτήτων</w:t>
            </w:r>
          </w:p>
        </w:tc>
        <w:tc>
          <w:tcPr>
            <w:tcW w:w="283" w:type="dxa"/>
            <w:tcBorders>
              <w:top w:val="nil"/>
              <w:left w:val="nil"/>
              <w:bottom w:val="nil"/>
              <w:right w:val="nil"/>
            </w:tcBorders>
            <w:shd w:val="clear" w:color="auto" w:fill="auto"/>
            <w:noWrap/>
            <w:vAlign w:val="bottom"/>
            <w:hideMark/>
          </w:tcPr>
          <w:p w14:paraId="5142E58D" w14:textId="77777777" w:rsidR="00363E89" w:rsidRPr="007A6EC1" w:rsidRDefault="00363E89" w:rsidP="006623D7">
            <w:pPr>
              <w:rPr>
                <w:rFonts w:ascii="Calibri" w:hAnsi="Calibri" w:cs="Calibri"/>
                <w:b/>
                <w:bCs/>
                <w:color w:val="4F81BD"/>
                <w:lang w:val="el-GR"/>
              </w:rPr>
            </w:pPr>
          </w:p>
        </w:tc>
        <w:tc>
          <w:tcPr>
            <w:tcW w:w="1547" w:type="dxa"/>
            <w:tcBorders>
              <w:top w:val="nil"/>
              <w:left w:val="nil"/>
              <w:bottom w:val="single" w:sz="4" w:space="0" w:color="4F81BD"/>
              <w:right w:val="nil"/>
            </w:tcBorders>
            <w:shd w:val="clear" w:color="000000" w:fill="FFFFFF"/>
            <w:noWrap/>
            <w:vAlign w:val="bottom"/>
            <w:hideMark/>
          </w:tcPr>
          <w:p w14:paraId="5142E58E" w14:textId="77777777" w:rsidR="00363E89" w:rsidRPr="007A6EC1" w:rsidRDefault="00363E89" w:rsidP="006623D7">
            <w:pPr>
              <w:jc w:val="right"/>
              <w:rPr>
                <w:rFonts w:ascii="Calibri" w:hAnsi="Calibri" w:cs="Calibri"/>
                <w:sz w:val="20"/>
                <w:szCs w:val="20"/>
                <w:lang w:val="el-GR"/>
              </w:rPr>
            </w:pPr>
            <w:r w:rsidRPr="007A6EC1">
              <w:rPr>
                <w:rFonts w:ascii="Calibri" w:hAnsi="Calibri" w:cs="Calibri"/>
                <w:sz w:val="20"/>
                <w:szCs w:val="20"/>
                <w:lang w:val="el-GR"/>
              </w:rPr>
              <w:t> </w:t>
            </w:r>
          </w:p>
        </w:tc>
        <w:tc>
          <w:tcPr>
            <w:tcW w:w="222" w:type="dxa"/>
            <w:tcBorders>
              <w:top w:val="nil"/>
              <w:left w:val="nil"/>
              <w:bottom w:val="nil"/>
              <w:right w:val="nil"/>
            </w:tcBorders>
            <w:shd w:val="clear" w:color="auto" w:fill="auto"/>
            <w:noWrap/>
            <w:vAlign w:val="bottom"/>
            <w:hideMark/>
          </w:tcPr>
          <w:p w14:paraId="5142E58F" w14:textId="77777777" w:rsidR="00363E89" w:rsidRPr="007A6EC1" w:rsidRDefault="00363E89" w:rsidP="006623D7">
            <w:pPr>
              <w:jc w:val="right"/>
              <w:rPr>
                <w:rFonts w:ascii="Calibri" w:hAnsi="Calibri" w:cs="Calibri"/>
                <w:sz w:val="20"/>
                <w:szCs w:val="20"/>
                <w:lang w:val="el-GR"/>
              </w:rPr>
            </w:pPr>
          </w:p>
        </w:tc>
        <w:tc>
          <w:tcPr>
            <w:tcW w:w="1491" w:type="dxa"/>
            <w:tcBorders>
              <w:top w:val="nil"/>
              <w:left w:val="nil"/>
              <w:bottom w:val="single" w:sz="4" w:space="0" w:color="4F81BD"/>
              <w:right w:val="nil"/>
            </w:tcBorders>
            <w:shd w:val="clear" w:color="auto" w:fill="auto"/>
            <w:noWrap/>
            <w:vAlign w:val="bottom"/>
            <w:hideMark/>
          </w:tcPr>
          <w:p w14:paraId="5142E590" w14:textId="77777777" w:rsidR="00363E89" w:rsidRPr="007A6EC1" w:rsidRDefault="00363E89" w:rsidP="006623D7">
            <w:pPr>
              <w:jc w:val="right"/>
              <w:rPr>
                <w:rFonts w:ascii="Calibri" w:hAnsi="Calibri" w:cs="Calibri"/>
                <w:sz w:val="20"/>
                <w:szCs w:val="20"/>
                <w:lang w:val="el-GR"/>
              </w:rPr>
            </w:pPr>
            <w:r w:rsidRPr="007A6EC1">
              <w:rPr>
                <w:rFonts w:ascii="Calibri" w:hAnsi="Calibri" w:cs="Calibri"/>
                <w:sz w:val="20"/>
                <w:szCs w:val="20"/>
                <w:lang w:val="el-GR"/>
              </w:rPr>
              <w:t> </w:t>
            </w:r>
          </w:p>
        </w:tc>
      </w:tr>
      <w:tr w:rsidR="00363E89" w:rsidRPr="007A6EC1" w14:paraId="5142E597" w14:textId="77777777" w:rsidTr="006623D7">
        <w:trPr>
          <w:trHeight w:val="282"/>
        </w:trPr>
        <w:tc>
          <w:tcPr>
            <w:tcW w:w="6663" w:type="dxa"/>
            <w:tcBorders>
              <w:top w:val="nil"/>
              <w:left w:val="nil"/>
              <w:bottom w:val="nil"/>
              <w:right w:val="nil"/>
            </w:tcBorders>
            <w:shd w:val="clear" w:color="auto" w:fill="auto"/>
            <w:vAlign w:val="bottom"/>
            <w:hideMark/>
          </w:tcPr>
          <w:p w14:paraId="5142E592"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Καθαρές πληρωμές για την απόκτηση ενσώματων και ασώματων ακινητοποιήσεων</w:t>
            </w:r>
          </w:p>
        </w:tc>
        <w:tc>
          <w:tcPr>
            <w:tcW w:w="283" w:type="dxa"/>
            <w:tcBorders>
              <w:top w:val="nil"/>
              <w:left w:val="nil"/>
              <w:bottom w:val="nil"/>
              <w:right w:val="nil"/>
            </w:tcBorders>
            <w:shd w:val="clear" w:color="auto" w:fill="auto"/>
            <w:noWrap/>
            <w:vAlign w:val="bottom"/>
            <w:hideMark/>
          </w:tcPr>
          <w:p w14:paraId="5142E593"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nil"/>
              <w:right w:val="nil"/>
            </w:tcBorders>
            <w:shd w:val="clear" w:color="000000" w:fill="F2F2F2"/>
            <w:noWrap/>
            <w:vAlign w:val="bottom"/>
            <w:hideMark/>
          </w:tcPr>
          <w:p w14:paraId="5142E59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-52.823</w:t>
            </w:r>
          </w:p>
        </w:tc>
        <w:tc>
          <w:tcPr>
            <w:tcW w:w="222" w:type="dxa"/>
            <w:tcBorders>
              <w:top w:val="nil"/>
              <w:left w:val="nil"/>
              <w:bottom w:val="nil"/>
              <w:right w:val="nil"/>
            </w:tcBorders>
            <w:shd w:val="clear" w:color="auto" w:fill="auto"/>
            <w:noWrap/>
            <w:vAlign w:val="bottom"/>
            <w:hideMark/>
          </w:tcPr>
          <w:p w14:paraId="5142E595"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auto"/>
              <w:left w:val="nil"/>
              <w:bottom w:val="single" w:sz="4" w:space="0" w:color="4F81BD"/>
              <w:right w:val="nil"/>
            </w:tcBorders>
            <w:shd w:val="clear" w:color="auto" w:fill="auto"/>
            <w:noWrap/>
            <w:vAlign w:val="bottom"/>
            <w:hideMark/>
          </w:tcPr>
          <w:p w14:paraId="5142E59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-40.331</w:t>
            </w:r>
          </w:p>
        </w:tc>
      </w:tr>
      <w:tr w:rsidR="00363E89" w:rsidRPr="007A6EC1" w14:paraId="5142E59D" w14:textId="77777777" w:rsidTr="006623D7">
        <w:trPr>
          <w:trHeight w:val="282"/>
        </w:trPr>
        <w:tc>
          <w:tcPr>
            <w:tcW w:w="6663" w:type="dxa"/>
            <w:tcBorders>
              <w:top w:val="single" w:sz="4" w:space="0" w:color="auto"/>
              <w:left w:val="nil"/>
              <w:bottom w:val="single" w:sz="4" w:space="0" w:color="4F81BD"/>
              <w:right w:val="nil"/>
            </w:tcBorders>
            <w:shd w:val="clear" w:color="auto" w:fill="auto"/>
            <w:vAlign w:val="bottom"/>
            <w:hideMark/>
          </w:tcPr>
          <w:p w14:paraId="5142E598"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Καθαρές εισπράξεις λόγω μεταβολών σε επενδύσεις συνδεδεμένων εταιριών και άλλων επενδυτικών δραστηριοτήτων</w:t>
            </w:r>
          </w:p>
        </w:tc>
        <w:tc>
          <w:tcPr>
            <w:tcW w:w="283" w:type="dxa"/>
            <w:tcBorders>
              <w:top w:val="nil"/>
              <w:left w:val="nil"/>
              <w:bottom w:val="nil"/>
              <w:right w:val="nil"/>
            </w:tcBorders>
            <w:shd w:val="clear" w:color="auto" w:fill="auto"/>
            <w:noWrap/>
            <w:vAlign w:val="bottom"/>
            <w:hideMark/>
          </w:tcPr>
          <w:p w14:paraId="5142E599" w14:textId="77777777" w:rsidR="00363E89" w:rsidRPr="007A6EC1" w:rsidRDefault="00363E89" w:rsidP="006623D7">
            <w:pPr>
              <w:rPr>
                <w:rFonts w:ascii="Calibri" w:hAnsi="Calibri" w:cs="Calibri"/>
                <w:sz w:val="21"/>
                <w:szCs w:val="21"/>
                <w:lang w:val="el-GR"/>
              </w:rPr>
            </w:pPr>
          </w:p>
        </w:tc>
        <w:tc>
          <w:tcPr>
            <w:tcW w:w="1547" w:type="dxa"/>
            <w:tcBorders>
              <w:top w:val="single" w:sz="4" w:space="0" w:color="auto"/>
              <w:left w:val="nil"/>
              <w:bottom w:val="single" w:sz="4" w:space="0" w:color="4F81BD"/>
              <w:right w:val="nil"/>
            </w:tcBorders>
            <w:shd w:val="clear" w:color="000000" w:fill="F2F2F2"/>
            <w:noWrap/>
            <w:vAlign w:val="bottom"/>
            <w:hideMark/>
          </w:tcPr>
          <w:p w14:paraId="5142E59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276</w:t>
            </w:r>
          </w:p>
        </w:tc>
        <w:tc>
          <w:tcPr>
            <w:tcW w:w="222" w:type="dxa"/>
            <w:tcBorders>
              <w:top w:val="nil"/>
              <w:left w:val="nil"/>
              <w:bottom w:val="nil"/>
              <w:right w:val="nil"/>
            </w:tcBorders>
            <w:shd w:val="clear" w:color="auto" w:fill="auto"/>
            <w:noWrap/>
            <w:vAlign w:val="bottom"/>
            <w:hideMark/>
          </w:tcPr>
          <w:p w14:paraId="5142E59B"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auto"/>
              <w:left w:val="nil"/>
              <w:bottom w:val="single" w:sz="4" w:space="0" w:color="4F81BD"/>
              <w:right w:val="nil"/>
            </w:tcBorders>
            <w:shd w:val="clear" w:color="auto" w:fill="auto"/>
            <w:noWrap/>
            <w:vAlign w:val="bottom"/>
            <w:hideMark/>
          </w:tcPr>
          <w:p w14:paraId="5142E59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627</w:t>
            </w:r>
          </w:p>
        </w:tc>
      </w:tr>
      <w:tr w:rsidR="00363E89" w:rsidRPr="007A6EC1" w14:paraId="5142E5A3" w14:textId="77777777" w:rsidTr="006623D7">
        <w:trPr>
          <w:trHeight w:val="282"/>
        </w:trPr>
        <w:tc>
          <w:tcPr>
            <w:tcW w:w="6663" w:type="dxa"/>
            <w:tcBorders>
              <w:top w:val="nil"/>
              <w:left w:val="nil"/>
              <w:bottom w:val="single" w:sz="4" w:space="0" w:color="auto"/>
              <w:right w:val="nil"/>
            </w:tcBorders>
            <w:shd w:val="clear" w:color="auto" w:fill="auto"/>
            <w:noWrap/>
            <w:vAlign w:val="bottom"/>
            <w:hideMark/>
          </w:tcPr>
          <w:p w14:paraId="5142E59E"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εκροών από επενδυτικές δραστηριότητες (β)</w:t>
            </w:r>
          </w:p>
        </w:tc>
        <w:tc>
          <w:tcPr>
            <w:tcW w:w="283" w:type="dxa"/>
            <w:tcBorders>
              <w:top w:val="nil"/>
              <w:left w:val="nil"/>
              <w:bottom w:val="nil"/>
              <w:right w:val="nil"/>
            </w:tcBorders>
            <w:shd w:val="clear" w:color="auto" w:fill="auto"/>
            <w:noWrap/>
            <w:vAlign w:val="bottom"/>
            <w:hideMark/>
          </w:tcPr>
          <w:p w14:paraId="5142E59F" w14:textId="77777777" w:rsidR="00363E89" w:rsidRPr="007A6EC1" w:rsidRDefault="00363E89" w:rsidP="006623D7">
            <w:pPr>
              <w:rPr>
                <w:rFonts w:ascii="Calibri" w:hAnsi="Calibri" w:cs="Calibri"/>
                <w:b/>
                <w:bCs/>
                <w:sz w:val="21"/>
                <w:szCs w:val="21"/>
                <w:lang w:val="el-GR"/>
              </w:rPr>
            </w:pPr>
          </w:p>
        </w:tc>
        <w:tc>
          <w:tcPr>
            <w:tcW w:w="1547" w:type="dxa"/>
            <w:tcBorders>
              <w:top w:val="nil"/>
              <w:left w:val="nil"/>
              <w:bottom w:val="single" w:sz="4" w:space="0" w:color="auto"/>
              <w:right w:val="nil"/>
            </w:tcBorders>
            <w:shd w:val="clear" w:color="000000" w:fill="F2F2F2"/>
            <w:noWrap/>
            <w:vAlign w:val="bottom"/>
            <w:hideMark/>
          </w:tcPr>
          <w:p w14:paraId="5142E5A0"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-52.547</w:t>
            </w:r>
          </w:p>
        </w:tc>
        <w:tc>
          <w:tcPr>
            <w:tcW w:w="222" w:type="dxa"/>
            <w:tcBorders>
              <w:top w:val="nil"/>
              <w:left w:val="nil"/>
              <w:bottom w:val="nil"/>
              <w:right w:val="nil"/>
            </w:tcBorders>
            <w:shd w:val="clear" w:color="auto" w:fill="auto"/>
            <w:noWrap/>
            <w:vAlign w:val="bottom"/>
            <w:hideMark/>
          </w:tcPr>
          <w:p w14:paraId="5142E5A1" w14:textId="77777777" w:rsidR="00363E89" w:rsidRPr="007A6EC1" w:rsidRDefault="00363E89" w:rsidP="006623D7">
            <w:pPr>
              <w:jc w:val="right"/>
              <w:rPr>
                <w:rFonts w:ascii="Calibri" w:hAnsi="Calibri" w:cs="Calibri"/>
                <w:b/>
                <w:bCs/>
                <w:sz w:val="21"/>
                <w:szCs w:val="21"/>
                <w:lang w:val="el-GR"/>
              </w:rPr>
            </w:pPr>
          </w:p>
        </w:tc>
        <w:tc>
          <w:tcPr>
            <w:tcW w:w="1491" w:type="dxa"/>
            <w:tcBorders>
              <w:top w:val="nil"/>
              <w:left w:val="nil"/>
              <w:bottom w:val="single" w:sz="4" w:space="0" w:color="auto"/>
              <w:right w:val="nil"/>
            </w:tcBorders>
            <w:shd w:val="clear" w:color="auto" w:fill="auto"/>
            <w:noWrap/>
            <w:vAlign w:val="bottom"/>
            <w:hideMark/>
          </w:tcPr>
          <w:p w14:paraId="5142E5A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-39.704</w:t>
            </w:r>
          </w:p>
        </w:tc>
      </w:tr>
      <w:tr w:rsidR="00363E89" w:rsidRPr="007A6EC1" w14:paraId="5142E5A9" w14:textId="77777777" w:rsidTr="006623D7">
        <w:trPr>
          <w:trHeight w:val="282"/>
        </w:trPr>
        <w:tc>
          <w:tcPr>
            <w:tcW w:w="6663" w:type="dxa"/>
            <w:tcBorders>
              <w:top w:val="nil"/>
              <w:left w:val="nil"/>
              <w:bottom w:val="nil"/>
              <w:right w:val="nil"/>
            </w:tcBorders>
            <w:shd w:val="clear" w:color="auto" w:fill="auto"/>
            <w:noWrap/>
            <w:vAlign w:val="bottom"/>
            <w:hideMark/>
          </w:tcPr>
          <w:p w14:paraId="5142E5A4"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5A5"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noWrap/>
            <w:vAlign w:val="bottom"/>
            <w:hideMark/>
          </w:tcPr>
          <w:p w14:paraId="5142E5A6" w14:textId="77777777" w:rsidR="00363E89" w:rsidRPr="007A6EC1" w:rsidRDefault="00363E89" w:rsidP="006623D7">
            <w:pPr>
              <w:rPr>
                <w:sz w:val="20"/>
                <w:szCs w:val="20"/>
                <w:lang w:val="el-GR"/>
              </w:rPr>
            </w:pPr>
          </w:p>
        </w:tc>
        <w:tc>
          <w:tcPr>
            <w:tcW w:w="222" w:type="dxa"/>
            <w:tcBorders>
              <w:top w:val="nil"/>
              <w:left w:val="nil"/>
              <w:bottom w:val="nil"/>
              <w:right w:val="nil"/>
            </w:tcBorders>
            <w:shd w:val="clear" w:color="auto" w:fill="auto"/>
            <w:noWrap/>
            <w:vAlign w:val="bottom"/>
            <w:hideMark/>
          </w:tcPr>
          <w:p w14:paraId="5142E5A7" w14:textId="77777777" w:rsidR="00363E89" w:rsidRPr="007A6EC1" w:rsidRDefault="00363E89" w:rsidP="006623D7">
            <w:pPr>
              <w:jc w:val="right"/>
              <w:rPr>
                <w:sz w:val="20"/>
                <w:szCs w:val="20"/>
                <w:lang w:val="el-GR"/>
              </w:rPr>
            </w:pPr>
          </w:p>
        </w:tc>
        <w:tc>
          <w:tcPr>
            <w:tcW w:w="1491" w:type="dxa"/>
            <w:tcBorders>
              <w:top w:val="nil"/>
              <w:left w:val="nil"/>
              <w:bottom w:val="nil"/>
              <w:right w:val="nil"/>
            </w:tcBorders>
            <w:shd w:val="clear" w:color="auto" w:fill="auto"/>
            <w:noWrap/>
            <w:vAlign w:val="bottom"/>
            <w:hideMark/>
          </w:tcPr>
          <w:p w14:paraId="5142E5A8" w14:textId="77777777" w:rsidR="00363E89" w:rsidRPr="007A6EC1" w:rsidRDefault="00363E89" w:rsidP="006623D7">
            <w:pPr>
              <w:jc w:val="right"/>
              <w:rPr>
                <w:sz w:val="20"/>
                <w:szCs w:val="20"/>
                <w:lang w:val="el-GR"/>
              </w:rPr>
            </w:pPr>
          </w:p>
        </w:tc>
      </w:tr>
      <w:tr w:rsidR="00363E89" w:rsidRPr="007A6EC1" w14:paraId="5142E5AF" w14:textId="77777777" w:rsidTr="006623D7">
        <w:trPr>
          <w:trHeight w:val="282"/>
        </w:trPr>
        <w:tc>
          <w:tcPr>
            <w:tcW w:w="6663" w:type="dxa"/>
            <w:tcBorders>
              <w:top w:val="nil"/>
              <w:left w:val="nil"/>
              <w:bottom w:val="single" w:sz="4" w:space="0" w:color="4F81BD"/>
              <w:right w:val="nil"/>
            </w:tcBorders>
            <w:shd w:val="clear" w:color="auto" w:fill="auto"/>
            <w:noWrap/>
            <w:vAlign w:val="bottom"/>
            <w:hideMark/>
          </w:tcPr>
          <w:p w14:paraId="5142E5AA" w14:textId="77777777" w:rsidR="00363E89" w:rsidRPr="007A6EC1" w:rsidRDefault="00363E89" w:rsidP="006623D7">
            <w:pPr>
              <w:rPr>
                <w:rFonts w:ascii="Calibri" w:hAnsi="Calibri" w:cs="Calibri"/>
                <w:b/>
                <w:bCs/>
                <w:color w:val="4F81BD"/>
                <w:lang w:val="el-GR"/>
              </w:rPr>
            </w:pPr>
            <w:r w:rsidRPr="007A6EC1">
              <w:rPr>
                <w:rFonts w:ascii="Calibri" w:hAnsi="Calibri" w:cs="Calibri"/>
                <w:b/>
                <w:bCs/>
                <w:color w:val="4F81BD"/>
                <w:lang w:val="el-GR"/>
              </w:rPr>
              <w:t>Ταμειακές ροές χρηματοοικονομικών δραστηριοτήτων</w:t>
            </w:r>
          </w:p>
        </w:tc>
        <w:tc>
          <w:tcPr>
            <w:tcW w:w="283" w:type="dxa"/>
            <w:tcBorders>
              <w:top w:val="nil"/>
              <w:left w:val="nil"/>
              <w:bottom w:val="nil"/>
              <w:right w:val="nil"/>
            </w:tcBorders>
            <w:shd w:val="clear" w:color="auto" w:fill="auto"/>
            <w:noWrap/>
            <w:vAlign w:val="bottom"/>
            <w:hideMark/>
          </w:tcPr>
          <w:p w14:paraId="5142E5AB" w14:textId="77777777" w:rsidR="00363E89" w:rsidRPr="007A6EC1" w:rsidRDefault="00363E89" w:rsidP="006623D7">
            <w:pPr>
              <w:rPr>
                <w:rFonts w:ascii="Calibri" w:hAnsi="Calibri" w:cs="Calibri"/>
                <w:b/>
                <w:bCs/>
                <w:color w:val="4F81BD"/>
                <w:lang w:val="el-GR"/>
              </w:rPr>
            </w:pPr>
          </w:p>
        </w:tc>
        <w:tc>
          <w:tcPr>
            <w:tcW w:w="1547" w:type="dxa"/>
            <w:tcBorders>
              <w:top w:val="nil"/>
              <w:left w:val="nil"/>
              <w:bottom w:val="single" w:sz="4" w:space="0" w:color="4F81BD"/>
              <w:right w:val="nil"/>
            </w:tcBorders>
            <w:shd w:val="clear" w:color="000000" w:fill="FFFFFF"/>
            <w:noWrap/>
            <w:vAlign w:val="bottom"/>
            <w:hideMark/>
          </w:tcPr>
          <w:p w14:paraId="5142E5AC" w14:textId="77777777" w:rsidR="00363E89" w:rsidRPr="007A6EC1" w:rsidRDefault="00363E89" w:rsidP="006623D7">
            <w:pPr>
              <w:jc w:val="right"/>
              <w:rPr>
                <w:rFonts w:ascii="Calibri" w:hAnsi="Calibri" w:cs="Calibri"/>
                <w:sz w:val="20"/>
                <w:szCs w:val="20"/>
                <w:lang w:val="el-GR"/>
              </w:rPr>
            </w:pPr>
            <w:r w:rsidRPr="007A6EC1">
              <w:rPr>
                <w:rFonts w:ascii="Calibri" w:hAnsi="Calibri" w:cs="Calibri"/>
                <w:sz w:val="20"/>
                <w:szCs w:val="20"/>
                <w:lang w:val="el-GR"/>
              </w:rPr>
              <w:t> </w:t>
            </w:r>
          </w:p>
        </w:tc>
        <w:tc>
          <w:tcPr>
            <w:tcW w:w="222" w:type="dxa"/>
            <w:tcBorders>
              <w:top w:val="nil"/>
              <w:left w:val="nil"/>
              <w:bottom w:val="nil"/>
              <w:right w:val="nil"/>
            </w:tcBorders>
            <w:shd w:val="clear" w:color="auto" w:fill="auto"/>
            <w:noWrap/>
            <w:vAlign w:val="bottom"/>
            <w:hideMark/>
          </w:tcPr>
          <w:p w14:paraId="5142E5AD" w14:textId="77777777" w:rsidR="00363E89" w:rsidRPr="007A6EC1" w:rsidRDefault="00363E89" w:rsidP="006623D7">
            <w:pPr>
              <w:jc w:val="right"/>
              <w:rPr>
                <w:rFonts w:ascii="Calibri" w:hAnsi="Calibri" w:cs="Calibri"/>
                <w:sz w:val="20"/>
                <w:szCs w:val="20"/>
                <w:lang w:val="el-GR"/>
              </w:rPr>
            </w:pPr>
          </w:p>
        </w:tc>
        <w:tc>
          <w:tcPr>
            <w:tcW w:w="1491" w:type="dxa"/>
            <w:tcBorders>
              <w:top w:val="nil"/>
              <w:left w:val="nil"/>
              <w:bottom w:val="single" w:sz="4" w:space="0" w:color="4F81BD"/>
              <w:right w:val="nil"/>
            </w:tcBorders>
            <w:shd w:val="clear" w:color="auto" w:fill="auto"/>
            <w:noWrap/>
            <w:vAlign w:val="bottom"/>
            <w:hideMark/>
          </w:tcPr>
          <w:p w14:paraId="5142E5AE" w14:textId="77777777" w:rsidR="00363E89" w:rsidRPr="007A6EC1" w:rsidRDefault="00363E89" w:rsidP="006623D7">
            <w:pPr>
              <w:jc w:val="right"/>
              <w:rPr>
                <w:rFonts w:ascii="Calibri" w:hAnsi="Calibri" w:cs="Calibri"/>
                <w:sz w:val="20"/>
                <w:szCs w:val="20"/>
                <w:lang w:val="el-GR"/>
              </w:rPr>
            </w:pPr>
            <w:r w:rsidRPr="007A6EC1">
              <w:rPr>
                <w:rFonts w:ascii="Calibri" w:hAnsi="Calibri" w:cs="Calibri"/>
                <w:sz w:val="20"/>
                <w:szCs w:val="20"/>
                <w:lang w:val="el-GR"/>
              </w:rPr>
              <w:t> </w:t>
            </w:r>
          </w:p>
        </w:tc>
      </w:tr>
      <w:tr w:rsidR="00363E89" w:rsidRPr="007A6EC1" w14:paraId="5142E5B5" w14:textId="77777777" w:rsidTr="006623D7">
        <w:trPr>
          <w:trHeight w:val="282"/>
        </w:trPr>
        <w:tc>
          <w:tcPr>
            <w:tcW w:w="6663" w:type="dxa"/>
            <w:tcBorders>
              <w:top w:val="single" w:sz="4" w:space="0" w:color="auto"/>
              <w:left w:val="nil"/>
              <w:bottom w:val="single" w:sz="4" w:space="0" w:color="4F81BD"/>
              <w:right w:val="nil"/>
            </w:tcBorders>
            <w:shd w:val="clear" w:color="000000" w:fill="FFFFFF"/>
            <w:noWrap/>
            <w:vAlign w:val="bottom"/>
            <w:hideMark/>
          </w:tcPr>
          <w:p w14:paraId="5142E5B0"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 xml:space="preserve">Απόκτηση μη </w:t>
            </w:r>
            <w:proofErr w:type="spellStart"/>
            <w:r w:rsidRPr="007A6EC1">
              <w:rPr>
                <w:rFonts w:ascii="Calibri" w:hAnsi="Calibri" w:cs="Calibri"/>
                <w:sz w:val="21"/>
                <w:szCs w:val="21"/>
                <w:lang w:val="el-GR"/>
              </w:rPr>
              <w:t>ελέγχουσας</w:t>
            </w:r>
            <w:proofErr w:type="spellEnd"/>
            <w:r w:rsidRPr="007A6EC1">
              <w:rPr>
                <w:rFonts w:ascii="Calibri" w:hAnsi="Calibri" w:cs="Calibri"/>
                <w:sz w:val="21"/>
                <w:szCs w:val="21"/>
                <w:lang w:val="el-GR"/>
              </w:rPr>
              <w:t xml:space="preserve"> </w:t>
            </w:r>
            <w:proofErr w:type="spellStart"/>
            <w:r w:rsidRPr="007A6EC1">
              <w:rPr>
                <w:rFonts w:ascii="Calibri" w:hAnsi="Calibri" w:cs="Calibri"/>
                <w:sz w:val="21"/>
                <w:szCs w:val="21"/>
                <w:lang w:val="el-GR"/>
              </w:rPr>
              <w:t>συμ</w:t>
            </w:r>
            <w:proofErr w:type="spellEnd"/>
            <w:r w:rsidRPr="007A6EC1">
              <w:rPr>
                <w:rFonts w:ascii="Calibri" w:hAnsi="Calibri" w:cs="Calibri"/>
                <w:sz w:val="21"/>
                <w:szCs w:val="21"/>
                <w:lang w:val="el-GR"/>
              </w:rPr>
              <w:t>/</w:t>
            </w:r>
            <w:proofErr w:type="spellStart"/>
            <w:r w:rsidRPr="007A6EC1">
              <w:rPr>
                <w:rFonts w:ascii="Calibri" w:hAnsi="Calibri" w:cs="Calibri"/>
                <w:sz w:val="21"/>
                <w:szCs w:val="21"/>
                <w:lang w:val="el-GR"/>
              </w:rPr>
              <w:t>χής</w:t>
            </w:r>
            <w:proofErr w:type="spellEnd"/>
          </w:p>
        </w:tc>
        <w:tc>
          <w:tcPr>
            <w:tcW w:w="283" w:type="dxa"/>
            <w:tcBorders>
              <w:top w:val="nil"/>
              <w:left w:val="nil"/>
              <w:bottom w:val="nil"/>
              <w:right w:val="nil"/>
            </w:tcBorders>
            <w:shd w:val="clear" w:color="auto" w:fill="auto"/>
            <w:noWrap/>
            <w:vAlign w:val="bottom"/>
            <w:hideMark/>
          </w:tcPr>
          <w:p w14:paraId="5142E5B1" w14:textId="77777777" w:rsidR="00363E89" w:rsidRPr="007A6EC1" w:rsidRDefault="00363E89" w:rsidP="006623D7">
            <w:pPr>
              <w:rPr>
                <w:rFonts w:ascii="Calibri" w:hAnsi="Calibri" w:cs="Calibri"/>
                <w:sz w:val="21"/>
                <w:szCs w:val="21"/>
                <w:lang w:val="el-GR"/>
              </w:rPr>
            </w:pPr>
          </w:p>
        </w:tc>
        <w:tc>
          <w:tcPr>
            <w:tcW w:w="1547" w:type="dxa"/>
            <w:tcBorders>
              <w:top w:val="single" w:sz="4" w:space="0" w:color="auto"/>
              <w:left w:val="nil"/>
              <w:bottom w:val="single" w:sz="4" w:space="0" w:color="4F81BD"/>
              <w:right w:val="nil"/>
            </w:tcBorders>
            <w:shd w:val="clear" w:color="000000" w:fill="F2F2F2"/>
            <w:noWrap/>
            <w:vAlign w:val="bottom"/>
            <w:hideMark/>
          </w:tcPr>
          <w:p w14:paraId="5142E5B2"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-40.817</w:t>
            </w:r>
          </w:p>
        </w:tc>
        <w:tc>
          <w:tcPr>
            <w:tcW w:w="222" w:type="dxa"/>
            <w:tcBorders>
              <w:top w:val="nil"/>
              <w:left w:val="nil"/>
              <w:bottom w:val="nil"/>
              <w:right w:val="nil"/>
            </w:tcBorders>
            <w:shd w:val="clear" w:color="auto" w:fill="auto"/>
            <w:noWrap/>
            <w:vAlign w:val="bottom"/>
            <w:hideMark/>
          </w:tcPr>
          <w:p w14:paraId="5142E5B3"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auto"/>
              <w:left w:val="nil"/>
              <w:bottom w:val="single" w:sz="4" w:space="0" w:color="4F81BD"/>
              <w:right w:val="nil"/>
            </w:tcBorders>
            <w:shd w:val="clear" w:color="auto" w:fill="auto"/>
            <w:noWrap/>
            <w:vAlign w:val="bottom"/>
            <w:hideMark/>
          </w:tcPr>
          <w:p w14:paraId="5142E5B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-1.455</w:t>
            </w:r>
          </w:p>
        </w:tc>
      </w:tr>
      <w:tr w:rsidR="00363E89" w:rsidRPr="007A6EC1" w14:paraId="5142E5BB" w14:textId="77777777" w:rsidTr="006623D7">
        <w:trPr>
          <w:trHeight w:val="282"/>
        </w:trPr>
        <w:tc>
          <w:tcPr>
            <w:tcW w:w="6663" w:type="dxa"/>
            <w:tcBorders>
              <w:top w:val="single" w:sz="4" w:space="0" w:color="auto"/>
              <w:left w:val="nil"/>
              <w:bottom w:val="single" w:sz="4" w:space="0" w:color="4F81BD"/>
              <w:right w:val="nil"/>
            </w:tcBorders>
            <w:shd w:val="clear" w:color="000000" w:fill="FFFFFF"/>
            <w:noWrap/>
            <w:vAlign w:val="bottom"/>
            <w:hideMark/>
          </w:tcPr>
          <w:p w14:paraId="5142E5B6"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Καθαρές (πληρωμές)/εισπράξεις από δάνεια και μισθώσεις</w:t>
            </w:r>
          </w:p>
        </w:tc>
        <w:tc>
          <w:tcPr>
            <w:tcW w:w="283" w:type="dxa"/>
            <w:tcBorders>
              <w:top w:val="nil"/>
              <w:left w:val="nil"/>
              <w:bottom w:val="nil"/>
              <w:right w:val="nil"/>
            </w:tcBorders>
            <w:shd w:val="clear" w:color="auto" w:fill="auto"/>
            <w:noWrap/>
            <w:vAlign w:val="bottom"/>
            <w:hideMark/>
          </w:tcPr>
          <w:p w14:paraId="5142E5B7" w14:textId="77777777" w:rsidR="00363E89" w:rsidRPr="007A6EC1" w:rsidRDefault="00363E89" w:rsidP="006623D7">
            <w:pPr>
              <w:rPr>
                <w:rFonts w:ascii="Calibri" w:hAnsi="Calibri" w:cs="Calibri"/>
                <w:sz w:val="21"/>
                <w:szCs w:val="21"/>
                <w:lang w:val="el-GR"/>
              </w:rPr>
            </w:pPr>
          </w:p>
        </w:tc>
        <w:tc>
          <w:tcPr>
            <w:tcW w:w="1547" w:type="dxa"/>
            <w:tcBorders>
              <w:top w:val="single" w:sz="4" w:space="0" w:color="auto"/>
              <w:left w:val="nil"/>
              <w:bottom w:val="single" w:sz="4" w:space="0" w:color="4F81BD"/>
              <w:right w:val="nil"/>
            </w:tcBorders>
            <w:shd w:val="clear" w:color="000000" w:fill="F2F2F2"/>
            <w:noWrap/>
            <w:vAlign w:val="bottom"/>
            <w:hideMark/>
          </w:tcPr>
          <w:p w14:paraId="5142E5B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-113.953</w:t>
            </w:r>
          </w:p>
        </w:tc>
        <w:tc>
          <w:tcPr>
            <w:tcW w:w="222" w:type="dxa"/>
            <w:tcBorders>
              <w:top w:val="nil"/>
              <w:left w:val="nil"/>
              <w:bottom w:val="nil"/>
              <w:right w:val="nil"/>
            </w:tcBorders>
            <w:shd w:val="clear" w:color="auto" w:fill="auto"/>
            <w:noWrap/>
            <w:vAlign w:val="bottom"/>
            <w:hideMark/>
          </w:tcPr>
          <w:p w14:paraId="5142E5B9"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auto"/>
              <w:left w:val="nil"/>
              <w:bottom w:val="single" w:sz="4" w:space="0" w:color="4F81BD"/>
              <w:right w:val="nil"/>
            </w:tcBorders>
            <w:shd w:val="clear" w:color="auto" w:fill="auto"/>
            <w:noWrap/>
            <w:vAlign w:val="bottom"/>
            <w:hideMark/>
          </w:tcPr>
          <w:p w14:paraId="5142E5B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117.557</w:t>
            </w:r>
          </w:p>
        </w:tc>
      </w:tr>
      <w:tr w:rsidR="00363E89" w:rsidRPr="007A6EC1" w14:paraId="5142E5C1" w14:textId="77777777" w:rsidTr="006623D7">
        <w:trPr>
          <w:trHeight w:val="285"/>
        </w:trPr>
        <w:tc>
          <w:tcPr>
            <w:tcW w:w="6663" w:type="dxa"/>
            <w:tcBorders>
              <w:top w:val="single" w:sz="4" w:space="0" w:color="000000"/>
              <w:left w:val="nil"/>
              <w:bottom w:val="single" w:sz="4" w:space="0" w:color="000000"/>
              <w:right w:val="nil"/>
            </w:tcBorders>
            <w:shd w:val="clear" w:color="000000" w:fill="FFFFFF"/>
            <w:noWrap/>
            <w:vAlign w:val="bottom"/>
            <w:hideMark/>
          </w:tcPr>
          <w:p w14:paraId="5142E5BC"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Χρεωστικοί τόκοι και συναφή έξοδα καταβεβλημένα</w:t>
            </w:r>
          </w:p>
        </w:tc>
        <w:tc>
          <w:tcPr>
            <w:tcW w:w="283" w:type="dxa"/>
            <w:tcBorders>
              <w:top w:val="nil"/>
              <w:left w:val="nil"/>
              <w:bottom w:val="nil"/>
              <w:right w:val="nil"/>
            </w:tcBorders>
            <w:shd w:val="clear" w:color="auto" w:fill="auto"/>
            <w:noWrap/>
            <w:vAlign w:val="bottom"/>
            <w:hideMark/>
          </w:tcPr>
          <w:p w14:paraId="5142E5BD" w14:textId="77777777" w:rsidR="00363E89" w:rsidRPr="007A6EC1" w:rsidRDefault="00363E89" w:rsidP="006623D7">
            <w:pPr>
              <w:rPr>
                <w:rFonts w:ascii="Calibri" w:hAnsi="Calibri" w:cs="Calibri"/>
                <w:sz w:val="21"/>
                <w:szCs w:val="21"/>
                <w:lang w:val="el-GR"/>
              </w:rPr>
            </w:pPr>
          </w:p>
        </w:tc>
        <w:tc>
          <w:tcPr>
            <w:tcW w:w="1547" w:type="dxa"/>
            <w:tcBorders>
              <w:top w:val="single" w:sz="4" w:space="0" w:color="000000"/>
              <w:left w:val="nil"/>
              <w:bottom w:val="single" w:sz="4" w:space="0" w:color="000000"/>
              <w:right w:val="nil"/>
            </w:tcBorders>
            <w:shd w:val="clear" w:color="000000" w:fill="F2F2F2"/>
            <w:noWrap/>
            <w:vAlign w:val="bottom"/>
            <w:hideMark/>
          </w:tcPr>
          <w:p w14:paraId="5142E5B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-18.133</w:t>
            </w:r>
          </w:p>
        </w:tc>
        <w:tc>
          <w:tcPr>
            <w:tcW w:w="222" w:type="dxa"/>
            <w:tcBorders>
              <w:top w:val="nil"/>
              <w:left w:val="nil"/>
              <w:bottom w:val="nil"/>
              <w:right w:val="nil"/>
            </w:tcBorders>
            <w:shd w:val="clear" w:color="auto" w:fill="auto"/>
            <w:noWrap/>
            <w:vAlign w:val="bottom"/>
            <w:hideMark/>
          </w:tcPr>
          <w:p w14:paraId="5142E5BF"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000000"/>
              <w:left w:val="nil"/>
              <w:bottom w:val="single" w:sz="4" w:space="0" w:color="000000"/>
              <w:right w:val="nil"/>
            </w:tcBorders>
            <w:shd w:val="clear" w:color="auto" w:fill="auto"/>
            <w:noWrap/>
            <w:vAlign w:val="bottom"/>
            <w:hideMark/>
          </w:tcPr>
          <w:p w14:paraId="5142E5C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-24.271</w:t>
            </w:r>
          </w:p>
        </w:tc>
      </w:tr>
      <w:tr w:rsidR="00363E89" w:rsidRPr="007A6EC1" w14:paraId="5142E5C7" w14:textId="77777777" w:rsidTr="006623D7">
        <w:trPr>
          <w:trHeight w:val="282"/>
        </w:trPr>
        <w:tc>
          <w:tcPr>
            <w:tcW w:w="6663" w:type="dxa"/>
            <w:tcBorders>
              <w:top w:val="nil"/>
              <w:left w:val="nil"/>
              <w:bottom w:val="single" w:sz="4" w:space="0" w:color="000000"/>
              <w:right w:val="nil"/>
            </w:tcBorders>
            <w:shd w:val="clear" w:color="000000" w:fill="FFFFFF"/>
            <w:noWrap/>
            <w:vAlign w:val="bottom"/>
            <w:hideMark/>
          </w:tcPr>
          <w:p w14:paraId="5142E5C2"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Πληρωμές για την απόκτηση ιδίων μετοχών</w:t>
            </w:r>
          </w:p>
        </w:tc>
        <w:tc>
          <w:tcPr>
            <w:tcW w:w="283" w:type="dxa"/>
            <w:tcBorders>
              <w:top w:val="nil"/>
              <w:left w:val="nil"/>
              <w:bottom w:val="nil"/>
              <w:right w:val="nil"/>
            </w:tcBorders>
            <w:shd w:val="clear" w:color="auto" w:fill="auto"/>
            <w:noWrap/>
            <w:vAlign w:val="bottom"/>
            <w:hideMark/>
          </w:tcPr>
          <w:p w14:paraId="5142E5C3"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C4"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w:t>
            </w:r>
          </w:p>
        </w:tc>
        <w:tc>
          <w:tcPr>
            <w:tcW w:w="222" w:type="dxa"/>
            <w:tcBorders>
              <w:top w:val="nil"/>
              <w:left w:val="nil"/>
              <w:bottom w:val="nil"/>
              <w:right w:val="nil"/>
            </w:tcBorders>
            <w:shd w:val="clear" w:color="auto" w:fill="auto"/>
            <w:noWrap/>
            <w:vAlign w:val="bottom"/>
            <w:hideMark/>
          </w:tcPr>
          <w:p w14:paraId="5142E5C5"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C6"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-8.816</w:t>
            </w:r>
          </w:p>
        </w:tc>
      </w:tr>
      <w:tr w:rsidR="00363E89" w:rsidRPr="007A6EC1" w14:paraId="5142E5CD" w14:textId="77777777" w:rsidTr="006623D7">
        <w:trPr>
          <w:trHeight w:val="282"/>
        </w:trPr>
        <w:tc>
          <w:tcPr>
            <w:tcW w:w="6663" w:type="dxa"/>
            <w:tcBorders>
              <w:top w:val="nil"/>
              <w:left w:val="nil"/>
              <w:bottom w:val="single" w:sz="4" w:space="0" w:color="000000"/>
              <w:right w:val="nil"/>
            </w:tcBorders>
            <w:shd w:val="clear" w:color="000000" w:fill="FFFFFF"/>
            <w:noWrap/>
            <w:vAlign w:val="bottom"/>
            <w:hideMark/>
          </w:tcPr>
          <w:p w14:paraId="5142E5C8"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Λοιπές (πληρωμές)/εισπράξεις από χρηματοδοτικές δραστηριότητες</w:t>
            </w:r>
          </w:p>
        </w:tc>
        <w:tc>
          <w:tcPr>
            <w:tcW w:w="283" w:type="dxa"/>
            <w:tcBorders>
              <w:top w:val="nil"/>
              <w:left w:val="nil"/>
              <w:bottom w:val="nil"/>
              <w:right w:val="nil"/>
            </w:tcBorders>
            <w:shd w:val="clear" w:color="auto" w:fill="auto"/>
            <w:noWrap/>
            <w:vAlign w:val="bottom"/>
            <w:hideMark/>
          </w:tcPr>
          <w:p w14:paraId="5142E5C9"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single" w:sz="4" w:space="0" w:color="000000"/>
              <w:right w:val="nil"/>
            </w:tcBorders>
            <w:shd w:val="clear" w:color="000000" w:fill="F2F2F2"/>
            <w:noWrap/>
            <w:vAlign w:val="bottom"/>
            <w:hideMark/>
          </w:tcPr>
          <w:p w14:paraId="5142E5C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-230</w:t>
            </w:r>
          </w:p>
        </w:tc>
        <w:tc>
          <w:tcPr>
            <w:tcW w:w="222" w:type="dxa"/>
            <w:tcBorders>
              <w:top w:val="nil"/>
              <w:left w:val="nil"/>
              <w:bottom w:val="nil"/>
              <w:right w:val="nil"/>
            </w:tcBorders>
            <w:shd w:val="clear" w:color="auto" w:fill="auto"/>
            <w:noWrap/>
            <w:vAlign w:val="bottom"/>
            <w:hideMark/>
          </w:tcPr>
          <w:p w14:paraId="5142E5CB"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single" w:sz="4" w:space="0" w:color="000000"/>
              <w:right w:val="nil"/>
            </w:tcBorders>
            <w:shd w:val="clear" w:color="auto" w:fill="auto"/>
            <w:noWrap/>
            <w:vAlign w:val="bottom"/>
            <w:hideMark/>
          </w:tcPr>
          <w:p w14:paraId="5142E5CC"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108</w:t>
            </w:r>
          </w:p>
        </w:tc>
      </w:tr>
      <w:tr w:rsidR="00363E89" w:rsidRPr="007A6EC1" w14:paraId="5142E5D3" w14:textId="77777777" w:rsidTr="006623D7">
        <w:trPr>
          <w:trHeight w:val="282"/>
        </w:trPr>
        <w:tc>
          <w:tcPr>
            <w:tcW w:w="6663" w:type="dxa"/>
            <w:tcBorders>
              <w:top w:val="single" w:sz="4" w:space="0" w:color="4F81BD"/>
              <w:left w:val="nil"/>
              <w:bottom w:val="single" w:sz="4" w:space="0" w:color="auto"/>
              <w:right w:val="nil"/>
            </w:tcBorders>
            <w:shd w:val="clear" w:color="000000" w:fill="FFFFFF"/>
            <w:noWrap/>
            <w:vAlign w:val="bottom"/>
            <w:hideMark/>
          </w:tcPr>
          <w:p w14:paraId="5142E5CE"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Σύνολο (εκροών)/εισροών από χρηματοοικονομικές δραστηριότητες (γ)</w:t>
            </w:r>
          </w:p>
        </w:tc>
        <w:tc>
          <w:tcPr>
            <w:tcW w:w="283" w:type="dxa"/>
            <w:tcBorders>
              <w:top w:val="nil"/>
              <w:left w:val="nil"/>
              <w:bottom w:val="nil"/>
              <w:right w:val="nil"/>
            </w:tcBorders>
            <w:shd w:val="clear" w:color="auto" w:fill="auto"/>
            <w:noWrap/>
            <w:vAlign w:val="bottom"/>
            <w:hideMark/>
          </w:tcPr>
          <w:p w14:paraId="5142E5CF" w14:textId="77777777" w:rsidR="00363E89" w:rsidRPr="007A6EC1" w:rsidRDefault="00363E89" w:rsidP="006623D7">
            <w:pPr>
              <w:rPr>
                <w:rFonts w:ascii="Calibri" w:hAnsi="Calibri" w:cs="Calibri"/>
                <w:b/>
                <w:bCs/>
                <w:sz w:val="21"/>
                <w:szCs w:val="21"/>
                <w:lang w:val="el-GR"/>
              </w:rPr>
            </w:pPr>
          </w:p>
        </w:tc>
        <w:tc>
          <w:tcPr>
            <w:tcW w:w="1547" w:type="dxa"/>
            <w:tcBorders>
              <w:top w:val="single" w:sz="4" w:space="0" w:color="4F81BD"/>
              <w:left w:val="nil"/>
              <w:bottom w:val="single" w:sz="4" w:space="0" w:color="auto"/>
              <w:right w:val="nil"/>
            </w:tcBorders>
            <w:shd w:val="clear" w:color="000000" w:fill="F2F2F2"/>
            <w:noWrap/>
            <w:vAlign w:val="bottom"/>
            <w:hideMark/>
          </w:tcPr>
          <w:p w14:paraId="5142E5D0"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-173.133</w:t>
            </w:r>
          </w:p>
        </w:tc>
        <w:tc>
          <w:tcPr>
            <w:tcW w:w="222" w:type="dxa"/>
            <w:tcBorders>
              <w:top w:val="nil"/>
              <w:left w:val="nil"/>
              <w:bottom w:val="nil"/>
              <w:right w:val="nil"/>
            </w:tcBorders>
            <w:shd w:val="clear" w:color="auto" w:fill="auto"/>
            <w:noWrap/>
            <w:vAlign w:val="bottom"/>
            <w:hideMark/>
          </w:tcPr>
          <w:p w14:paraId="5142E5D1" w14:textId="77777777" w:rsidR="00363E89" w:rsidRPr="007A6EC1" w:rsidRDefault="00363E89" w:rsidP="006623D7">
            <w:pPr>
              <w:jc w:val="right"/>
              <w:rPr>
                <w:rFonts w:ascii="Calibri" w:hAnsi="Calibri" w:cs="Calibri"/>
                <w:b/>
                <w:bCs/>
                <w:sz w:val="21"/>
                <w:szCs w:val="21"/>
                <w:lang w:val="el-GR"/>
              </w:rPr>
            </w:pPr>
          </w:p>
        </w:tc>
        <w:tc>
          <w:tcPr>
            <w:tcW w:w="1491" w:type="dxa"/>
            <w:tcBorders>
              <w:top w:val="single" w:sz="4" w:space="0" w:color="4F81BD"/>
              <w:left w:val="nil"/>
              <w:bottom w:val="single" w:sz="4" w:space="0" w:color="auto"/>
              <w:right w:val="nil"/>
            </w:tcBorders>
            <w:shd w:val="clear" w:color="auto" w:fill="auto"/>
            <w:noWrap/>
            <w:vAlign w:val="bottom"/>
            <w:hideMark/>
          </w:tcPr>
          <w:p w14:paraId="5142E5D2"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83.123</w:t>
            </w:r>
          </w:p>
        </w:tc>
      </w:tr>
      <w:tr w:rsidR="00363E89" w:rsidRPr="007A6EC1" w14:paraId="5142E5D9" w14:textId="77777777" w:rsidTr="006623D7">
        <w:trPr>
          <w:trHeight w:val="282"/>
        </w:trPr>
        <w:tc>
          <w:tcPr>
            <w:tcW w:w="6663" w:type="dxa"/>
            <w:tcBorders>
              <w:top w:val="nil"/>
              <w:left w:val="nil"/>
              <w:bottom w:val="nil"/>
              <w:right w:val="nil"/>
            </w:tcBorders>
            <w:shd w:val="clear" w:color="auto" w:fill="auto"/>
            <w:noWrap/>
            <w:vAlign w:val="bottom"/>
            <w:hideMark/>
          </w:tcPr>
          <w:p w14:paraId="5142E5D4"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5D5"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noWrap/>
            <w:vAlign w:val="bottom"/>
            <w:hideMark/>
          </w:tcPr>
          <w:p w14:paraId="5142E5D6" w14:textId="77777777" w:rsidR="00363E89" w:rsidRPr="007A6EC1" w:rsidRDefault="00363E89" w:rsidP="006623D7">
            <w:pPr>
              <w:jc w:val="center"/>
              <w:rPr>
                <w:sz w:val="20"/>
                <w:szCs w:val="20"/>
                <w:lang w:val="el-GR"/>
              </w:rPr>
            </w:pPr>
          </w:p>
        </w:tc>
        <w:tc>
          <w:tcPr>
            <w:tcW w:w="222" w:type="dxa"/>
            <w:tcBorders>
              <w:top w:val="nil"/>
              <w:left w:val="nil"/>
              <w:bottom w:val="nil"/>
              <w:right w:val="nil"/>
            </w:tcBorders>
            <w:shd w:val="clear" w:color="auto" w:fill="auto"/>
            <w:noWrap/>
            <w:vAlign w:val="bottom"/>
            <w:hideMark/>
          </w:tcPr>
          <w:p w14:paraId="5142E5D7" w14:textId="77777777" w:rsidR="00363E89" w:rsidRPr="007A6EC1" w:rsidRDefault="00363E89" w:rsidP="006623D7">
            <w:pPr>
              <w:jc w:val="right"/>
              <w:rPr>
                <w:sz w:val="20"/>
                <w:szCs w:val="20"/>
                <w:lang w:val="el-GR"/>
              </w:rPr>
            </w:pPr>
          </w:p>
        </w:tc>
        <w:tc>
          <w:tcPr>
            <w:tcW w:w="1491" w:type="dxa"/>
            <w:tcBorders>
              <w:top w:val="nil"/>
              <w:left w:val="nil"/>
              <w:bottom w:val="nil"/>
              <w:right w:val="nil"/>
            </w:tcBorders>
            <w:shd w:val="clear" w:color="auto" w:fill="auto"/>
            <w:noWrap/>
            <w:vAlign w:val="bottom"/>
            <w:hideMark/>
          </w:tcPr>
          <w:p w14:paraId="5142E5D8" w14:textId="77777777" w:rsidR="00363E89" w:rsidRPr="007A6EC1" w:rsidRDefault="00363E89" w:rsidP="006623D7">
            <w:pPr>
              <w:jc w:val="right"/>
              <w:rPr>
                <w:sz w:val="20"/>
                <w:szCs w:val="20"/>
                <w:lang w:val="el-GR"/>
              </w:rPr>
            </w:pPr>
          </w:p>
        </w:tc>
      </w:tr>
      <w:tr w:rsidR="00363E89" w:rsidRPr="007A6EC1" w14:paraId="5142E5DF" w14:textId="77777777" w:rsidTr="006623D7">
        <w:trPr>
          <w:trHeight w:val="282"/>
        </w:trPr>
        <w:tc>
          <w:tcPr>
            <w:tcW w:w="6663" w:type="dxa"/>
            <w:tcBorders>
              <w:top w:val="single" w:sz="4" w:space="0" w:color="000000"/>
              <w:left w:val="nil"/>
              <w:bottom w:val="single" w:sz="4" w:space="0" w:color="000000"/>
              <w:right w:val="nil"/>
            </w:tcBorders>
            <w:shd w:val="clear" w:color="auto" w:fill="auto"/>
            <w:noWrap/>
            <w:vAlign w:val="bottom"/>
            <w:hideMark/>
          </w:tcPr>
          <w:p w14:paraId="5142E5DA"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Καθαρή (μείωση)/αύξηση στα ταμειακά διαθέσιμα και ισοδύναμα (α)+(β)+(γ)</w:t>
            </w:r>
          </w:p>
        </w:tc>
        <w:tc>
          <w:tcPr>
            <w:tcW w:w="283" w:type="dxa"/>
            <w:tcBorders>
              <w:top w:val="nil"/>
              <w:left w:val="nil"/>
              <w:bottom w:val="nil"/>
              <w:right w:val="nil"/>
            </w:tcBorders>
            <w:shd w:val="clear" w:color="auto" w:fill="auto"/>
            <w:noWrap/>
            <w:vAlign w:val="bottom"/>
            <w:hideMark/>
          </w:tcPr>
          <w:p w14:paraId="5142E5DB" w14:textId="77777777" w:rsidR="00363E89" w:rsidRPr="007A6EC1" w:rsidRDefault="00363E89" w:rsidP="006623D7">
            <w:pPr>
              <w:rPr>
                <w:rFonts w:ascii="Calibri" w:hAnsi="Calibri" w:cs="Calibri"/>
                <w:b/>
                <w:bCs/>
                <w:sz w:val="21"/>
                <w:szCs w:val="21"/>
                <w:lang w:val="el-GR"/>
              </w:rPr>
            </w:pPr>
          </w:p>
        </w:tc>
        <w:tc>
          <w:tcPr>
            <w:tcW w:w="1547" w:type="dxa"/>
            <w:tcBorders>
              <w:top w:val="single" w:sz="4" w:space="0" w:color="000000"/>
              <w:left w:val="nil"/>
              <w:bottom w:val="single" w:sz="4" w:space="0" w:color="000000"/>
              <w:right w:val="nil"/>
            </w:tcBorders>
            <w:shd w:val="clear" w:color="000000" w:fill="F2F2F2"/>
            <w:noWrap/>
            <w:vAlign w:val="bottom"/>
            <w:hideMark/>
          </w:tcPr>
          <w:p w14:paraId="5142E5DC"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-114.874</w:t>
            </w:r>
          </w:p>
        </w:tc>
        <w:tc>
          <w:tcPr>
            <w:tcW w:w="222" w:type="dxa"/>
            <w:tcBorders>
              <w:top w:val="nil"/>
              <w:left w:val="nil"/>
              <w:bottom w:val="nil"/>
              <w:right w:val="nil"/>
            </w:tcBorders>
            <w:shd w:val="clear" w:color="auto" w:fill="auto"/>
            <w:noWrap/>
            <w:vAlign w:val="bottom"/>
            <w:hideMark/>
          </w:tcPr>
          <w:p w14:paraId="5142E5DD" w14:textId="77777777" w:rsidR="00363E89" w:rsidRPr="007A6EC1" w:rsidRDefault="00363E89" w:rsidP="006623D7">
            <w:pPr>
              <w:jc w:val="right"/>
              <w:rPr>
                <w:rFonts w:ascii="Calibri" w:hAnsi="Calibri" w:cs="Calibri"/>
                <w:b/>
                <w:bCs/>
                <w:sz w:val="21"/>
                <w:szCs w:val="21"/>
                <w:lang w:val="el-GR"/>
              </w:rPr>
            </w:pPr>
          </w:p>
        </w:tc>
        <w:tc>
          <w:tcPr>
            <w:tcW w:w="1491" w:type="dxa"/>
            <w:tcBorders>
              <w:top w:val="single" w:sz="4" w:space="0" w:color="000000"/>
              <w:left w:val="nil"/>
              <w:bottom w:val="single" w:sz="4" w:space="0" w:color="000000"/>
              <w:right w:val="nil"/>
            </w:tcBorders>
            <w:shd w:val="clear" w:color="auto" w:fill="auto"/>
            <w:noWrap/>
            <w:vAlign w:val="bottom"/>
            <w:hideMark/>
          </w:tcPr>
          <w:p w14:paraId="5142E5DE"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150.744</w:t>
            </w:r>
          </w:p>
        </w:tc>
      </w:tr>
      <w:tr w:rsidR="00363E89" w:rsidRPr="007A6EC1" w14:paraId="5142E5E5" w14:textId="77777777" w:rsidTr="006623D7">
        <w:trPr>
          <w:trHeight w:val="360"/>
        </w:trPr>
        <w:tc>
          <w:tcPr>
            <w:tcW w:w="6663" w:type="dxa"/>
            <w:tcBorders>
              <w:top w:val="nil"/>
              <w:left w:val="nil"/>
              <w:bottom w:val="nil"/>
              <w:right w:val="nil"/>
            </w:tcBorders>
            <w:shd w:val="clear" w:color="auto" w:fill="auto"/>
            <w:noWrap/>
            <w:vAlign w:val="bottom"/>
            <w:hideMark/>
          </w:tcPr>
          <w:p w14:paraId="5142E5E0" w14:textId="77777777" w:rsidR="00363E89" w:rsidRPr="007A6EC1" w:rsidRDefault="00363E89" w:rsidP="006623D7">
            <w:pPr>
              <w:jc w:val="right"/>
              <w:rPr>
                <w:rFonts w:ascii="Calibri" w:hAnsi="Calibri" w:cs="Calibri"/>
                <w:b/>
                <w:bCs/>
                <w:sz w:val="21"/>
                <w:szCs w:val="21"/>
                <w:lang w:val="el-GR"/>
              </w:rPr>
            </w:pPr>
          </w:p>
        </w:tc>
        <w:tc>
          <w:tcPr>
            <w:tcW w:w="283" w:type="dxa"/>
            <w:tcBorders>
              <w:top w:val="nil"/>
              <w:left w:val="nil"/>
              <w:bottom w:val="nil"/>
              <w:right w:val="nil"/>
            </w:tcBorders>
            <w:shd w:val="clear" w:color="auto" w:fill="auto"/>
            <w:noWrap/>
            <w:vAlign w:val="bottom"/>
            <w:hideMark/>
          </w:tcPr>
          <w:p w14:paraId="5142E5E1" w14:textId="77777777" w:rsidR="00363E89" w:rsidRPr="007A6EC1" w:rsidRDefault="00363E89" w:rsidP="006623D7">
            <w:pPr>
              <w:rPr>
                <w:sz w:val="20"/>
                <w:szCs w:val="20"/>
                <w:lang w:val="el-GR"/>
              </w:rPr>
            </w:pPr>
          </w:p>
        </w:tc>
        <w:tc>
          <w:tcPr>
            <w:tcW w:w="1547" w:type="dxa"/>
            <w:tcBorders>
              <w:top w:val="nil"/>
              <w:left w:val="nil"/>
              <w:bottom w:val="nil"/>
              <w:right w:val="nil"/>
            </w:tcBorders>
            <w:shd w:val="clear" w:color="auto" w:fill="auto"/>
            <w:noWrap/>
            <w:vAlign w:val="bottom"/>
            <w:hideMark/>
          </w:tcPr>
          <w:p w14:paraId="5142E5E2" w14:textId="77777777" w:rsidR="00363E89" w:rsidRPr="007A6EC1" w:rsidRDefault="00363E89" w:rsidP="006623D7">
            <w:pPr>
              <w:jc w:val="center"/>
              <w:rPr>
                <w:sz w:val="20"/>
                <w:szCs w:val="20"/>
                <w:lang w:val="el-GR"/>
              </w:rPr>
            </w:pPr>
          </w:p>
        </w:tc>
        <w:tc>
          <w:tcPr>
            <w:tcW w:w="222" w:type="dxa"/>
            <w:tcBorders>
              <w:top w:val="nil"/>
              <w:left w:val="nil"/>
              <w:bottom w:val="nil"/>
              <w:right w:val="nil"/>
            </w:tcBorders>
            <w:shd w:val="clear" w:color="auto" w:fill="auto"/>
            <w:noWrap/>
            <w:vAlign w:val="bottom"/>
            <w:hideMark/>
          </w:tcPr>
          <w:p w14:paraId="5142E5E3" w14:textId="77777777" w:rsidR="00363E89" w:rsidRPr="007A6EC1" w:rsidRDefault="00363E89" w:rsidP="006623D7">
            <w:pPr>
              <w:jc w:val="right"/>
              <w:rPr>
                <w:sz w:val="20"/>
                <w:szCs w:val="20"/>
                <w:lang w:val="el-GR"/>
              </w:rPr>
            </w:pPr>
          </w:p>
        </w:tc>
        <w:tc>
          <w:tcPr>
            <w:tcW w:w="1491" w:type="dxa"/>
            <w:tcBorders>
              <w:top w:val="nil"/>
              <w:left w:val="nil"/>
              <w:bottom w:val="nil"/>
              <w:right w:val="nil"/>
            </w:tcBorders>
            <w:shd w:val="clear" w:color="auto" w:fill="auto"/>
            <w:noWrap/>
            <w:vAlign w:val="bottom"/>
            <w:hideMark/>
          </w:tcPr>
          <w:p w14:paraId="5142E5E4" w14:textId="77777777" w:rsidR="00363E89" w:rsidRPr="007A6EC1" w:rsidRDefault="00363E89" w:rsidP="006623D7">
            <w:pPr>
              <w:jc w:val="right"/>
              <w:rPr>
                <w:sz w:val="20"/>
                <w:szCs w:val="20"/>
                <w:lang w:val="el-GR"/>
              </w:rPr>
            </w:pPr>
          </w:p>
        </w:tc>
      </w:tr>
      <w:tr w:rsidR="00363E89" w:rsidRPr="007A6EC1" w14:paraId="5142E5EB" w14:textId="77777777" w:rsidTr="006623D7">
        <w:trPr>
          <w:trHeight w:val="360"/>
        </w:trPr>
        <w:tc>
          <w:tcPr>
            <w:tcW w:w="6663" w:type="dxa"/>
            <w:tcBorders>
              <w:top w:val="single" w:sz="4" w:space="0" w:color="000000"/>
              <w:left w:val="nil"/>
              <w:bottom w:val="single" w:sz="4" w:space="0" w:color="000000"/>
              <w:right w:val="nil"/>
            </w:tcBorders>
            <w:shd w:val="clear" w:color="auto" w:fill="auto"/>
            <w:noWrap/>
            <w:vAlign w:val="bottom"/>
            <w:hideMark/>
          </w:tcPr>
          <w:p w14:paraId="5142E5E6"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Ταμειακά διαθέσιμα και ισοδύναμα έναρξης χρήσης</w:t>
            </w:r>
          </w:p>
        </w:tc>
        <w:tc>
          <w:tcPr>
            <w:tcW w:w="283" w:type="dxa"/>
            <w:tcBorders>
              <w:top w:val="nil"/>
              <w:left w:val="nil"/>
              <w:bottom w:val="nil"/>
              <w:right w:val="nil"/>
            </w:tcBorders>
            <w:shd w:val="clear" w:color="auto" w:fill="auto"/>
            <w:noWrap/>
            <w:vAlign w:val="bottom"/>
            <w:hideMark/>
          </w:tcPr>
          <w:p w14:paraId="5142E5E7" w14:textId="77777777" w:rsidR="00363E89" w:rsidRPr="007A6EC1" w:rsidRDefault="00363E89" w:rsidP="006623D7">
            <w:pPr>
              <w:rPr>
                <w:rFonts w:ascii="Calibri" w:hAnsi="Calibri" w:cs="Calibri"/>
                <w:sz w:val="21"/>
                <w:szCs w:val="21"/>
                <w:lang w:val="el-GR"/>
              </w:rPr>
            </w:pPr>
          </w:p>
        </w:tc>
        <w:tc>
          <w:tcPr>
            <w:tcW w:w="1547" w:type="dxa"/>
            <w:tcBorders>
              <w:top w:val="single" w:sz="4" w:space="0" w:color="000000"/>
              <w:left w:val="nil"/>
              <w:bottom w:val="single" w:sz="4" w:space="0" w:color="000000"/>
              <w:right w:val="nil"/>
            </w:tcBorders>
            <w:shd w:val="clear" w:color="000000" w:fill="F2F2F2"/>
            <w:noWrap/>
            <w:vAlign w:val="bottom"/>
            <w:hideMark/>
          </w:tcPr>
          <w:p w14:paraId="5142E5E8"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206.438</w:t>
            </w:r>
          </w:p>
        </w:tc>
        <w:tc>
          <w:tcPr>
            <w:tcW w:w="222" w:type="dxa"/>
            <w:tcBorders>
              <w:top w:val="nil"/>
              <w:left w:val="nil"/>
              <w:bottom w:val="nil"/>
              <w:right w:val="nil"/>
            </w:tcBorders>
            <w:shd w:val="clear" w:color="auto" w:fill="auto"/>
            <w:noWrap/>
            <w:vAlign w:val="bottom"/>
            <w:hideMark/>
          </w:tcPr>
          <w:p w14:paraId="5142E5E9" w14:textId="77777777" w:rsidR="00363E89" w:rsidRPr="007A6EC1" w:rsidRDefault="00363E89" w:rsidP="006623D7">
            <w:pPr>
              <w:jc w:val="right"/>
              <w:rPr>
                <w:rFonts w:ascii="Calibri" w:hAnsi="Calibri" w:cs="Calibri"/>
                <w:sz w:val="21"/>
                <w:szCs w:val="21"/>
                <w:lang w:val="el-GR"/>
              </w:rPr>
            </w:pPr>
          </w:p>
        </w:tc>
        <w:tc>
          <w:tcPr>
            <w:tcW w:w="1491" w:type="dxa"/>
            <w:tcBorders>
              <w:top w:val="single" w:sz="4" w:space="0" w:color="000000"/>
              <w:left w:val="nil"/>
              <w:bottom w:val="single" w:sz="4" w:space="0" w:color="000000"/>
              <w:right w:val="nil"/>
            </w:tcBorders>
            <w:shd w:val="clear" w:color="auto" w:fill="auto"/>
            <w:noWrap/>
            <w:vAlign w:val="bottom"/>
            <w:hideMark/>
          </w:tcPr>
          <w:p w14:paraId="5142E5EA"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90.388</w:t>
            </w:r>
          </w:p>
        </w:tc>
      </w:tr>
      <w:tr w:rsidR="00363E89" w:rsidRPr="007A6EC1" w14:paraId="5142E5F1" w14:textId="77777777" w:rsidTr="006623D7">
        <w:trPr>
          <w:trHeight w:val="360"/>
        </w:trPr>
        <w:tc>
          <w:tcPr>
            <w:tcW w:w="6663" w:type="dxa"/>
            <w:tcBorders>
              <w:top w:val="nil"/>
              <w:left w:val="nil"/>
              <w:bottom w:val="nil"/>
              <w:right w:val="nil"/>
            </w:tcBorders>
            <w:shd w:val="clear" w:color="auto" w:fill="auto"/>
            <w:noWrap/>
            <w:vAlign w:val="bottom"/>
            <w:hideMark/>
          </w:tcPr>
          <w:p w14:paraId="5142E5EC" w14:textId="77777777" w:rsidR="00363E89" w:rsidRPr="007A6EC1" w:rsidRDefault="00363E89" w:rsidP="006623D7">
            <w:pPr>
              <w:rPr>
                <w:rFonts w:ascii="Calibri" w:hAnsi="Calibri" w:cs="Calibri"/>
                <w:sz w:val="21"/>
                <w:szCs w:val="21"/>
                <w:lang w:val="el-GR"/>
              </w:rPr>
            </w:pPr>
            <w:r w:rsidRPr="007A6EC1">
              <w:rPr>
                <w:rFonts w:ascii="Calibri" w:hAnsi="Calibri" w:cs="Calibri"/>
                <w:sz w:val="21"/>
                <w:szCs w:val="21"/>
                <w:lang w:val="el-GR"/>
              </w:rPr>
              <w:t>Επίδραση συναλλαγματικών διαφορών</w:t>
            </w:r>
          </w:p>
        </w:tc>
        <w:tc>
          <w:tcPr>
            <w:tcW w:w="283" w:type="dxa"/>
            <w:tcBorders>
              <w:top w:val="nil"/>
              <w:left w:val="nil"/>
              <w:bottom w:val="nil"/>
              <w:right w:val="nil"/>
            </w:tcBorders>
            <w:shd w:val="clear" w:color="auto" w:fill="auto"/>
            <w:noWrap/>
            <w:vAlign w:val="bottom"/>
            <w:hideMark/>
          </w:tcPr>
          <w:p w14:paraId="5142E5ED" w14:textId="77777777" w:rsidR="00363E89" w:rsidRPr="007A6EC1" w:rsidRDefault="00363E89" w:rsidP="006623D7">
            <w:pPr>
              <w:rPr>
                <w:rFonts w:ascii="Calibri" w:hAnsi="Calibri" w:cs="Calibri"/>
                <w:sz w:val="21"/>
                <w:szCs w:val="21"/>
                <w:lang w:val="el-GR"/>
              </w:rPr>
            </w:pPr>
          </w:p>
        </w:tc>
        <w:tc>
          <w:tcPr>
            <w:tcW w:w="1547" w:type="dxa"/>
            <w:tcBorders>
              <w:top w:val="nil"/>
              <w:left w:val="nil"/>
              <w:bottom w:val="nil"/>
              <w:right w:val="nil"/>
            </w:tcBorders>
            <w:shd w:val="clear" w:color="000000" w:fill="F2F2F2"/>
            <w:noWrap/>
            <w:vAlign w:val="bottom"/>
            <w:hideMark/>
          </w:tcPr>
          <w:p w14:paraId="5142E5EE"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2.131</w:t>
            </w:r>
          </w:p>
        </w:tc>
        <w:tc>
          <w:tcPr>
            <w:tcW w:w="222" w:type="dxa"/>
            <w:tcBorders>
              <w:top w:val="nil"/>
              <w:left w:val="nil"/>
              <w:bottom w:val="nil"/>
              <w:right w:val="nil"/>
            </w:tcBorders>
            <w:shd w:val="clear" w:color="auto" w:fill="auto"/>
            <w:noWrap/>
            <w:vAlign w:val="bottom"/>
            <w:hideMark/>
          </w:tcPr>
          <w:p w14:paraId="5142E5EF" w14:textId="77777777" w:rsidR="00363E89" w:rsidRPr="007A6EC1" w:rsidRDefault="00363E89" w:rsidP="006623D7">
            <w:pPr>
              <w:jc w:val="right"/>
              <w:rPr>
                <w:rFonts w:ascii="Calibri" w:hAnsi="Calibri" w:cs="Calibri"/>
                <w:sz w:val="21"/>
                <w:szCs w:val="21"/>
                <w:lang w:val="el-GR"/>
              </w:rPr>
            </w:pPr>
          </w:p>
        </w:tc>
        <w:tc>
          <w:tcPr>
            <w:tcW w:w="1491" w:type="dxa"/>
            <w:tcBorders>
              <w:top w:val="nil"/>
              <w:left w:val="nil"/>
              <w:bottom w:val="nil"/>
              <w:right w:val="nil"/>
            </w:tcBorders>
            <w:shd w:val="clear" w:color="auto" w:fill="auto"/>
            <w:noWrap/>
            <w:vAlign w:val="bottom"/>
            <w:hideMark/>
          </w:tcPr>
          <w:p w14:paraId="5142E5F0" w14:textId="77777777" w:rsidR="00363E89" w:rsidRPr="007A6EC1" w:rsidRDefault="00363E89" w:rsidP="006623D7">
            <w:pPr>
              <w:jc w:val="right"/>
              <w:rPr>
                <w:rFonts w:ascii="Calibri" w:hAnsi="Calibri" w:cs="Calibri"/>
                <w:sz w:val="21"/>
                <w:szCs w:val="21"/>
                <w:lang w:val="el-GR"/>
              </w:rPr>
            </w:pPr>
            <w:r w:rsidRPr="007A6EC1">
              <w:rPr>
                <w:rFonts w:ascii="Calibri" w:hAnsi="Calibri" w:cs="Calibri"/>
                <w:sz w:val="21"/>
                <w:szCs w:val="21"/>
                <w:lang w:val="el-GR"/>
              </w:rPr>
              <w:t>-793</w:t>
            </w:r>
          </w:p>
        </w:tc>
      </w:tr>
      <w:tr w:rsidR="00363E89" w:rsidRPr="007A6EC1" w14:paraId="5142E5F7" w14:textId="77777777" w:rsidTr="006623D7">
        <w:trPr>
          <w:trHeight w:val="360"/>
        </w:trPr>
        <w:tc>
          <w:tcPr>
            <w:tcW w:w="6663" w:type="dxa"/>
            <w:tcBorders>
              <w:top w:val="single" w:sz="4" w:space="0" w:color="4F81BD"/>
              <w:left w:val="nil"/>
              <w:bottom w:val="single" w:sz="4" w:space="0" w:color="4F81BD"/>
              <w:right w:val="nil"/>
            </w:tcBorders>
            <w:shd w:val="clear" w:color="auto" w:fill="auto"/>
            <w:noWrap/>
            <w:vAlign w:val="bottom"/>
            <w:hideMark/>
          </w:tcPr>
          <w:p w14:paraId="5142E5F2" w14:textId="77777777" w:rsidR="00363E89" w:rsidRPr="007A6EC1" w:rsidRDefault="00363E89" w:rsidP="006623D7">
            <w:pPr>
              <w:rPr>
                <w:rFonts w:ascii="Calibri" w:hAnsi="Calibri" w:cs="Calibri"/>
                <w:b/>
                <w:bCs/>
                <w:sz w:val="21"/>
                <w:szCs w:val="21"/>
                <w:lang w:val="el-GR"/>
              </w:rPr>
            </w:pPr>
            <w:r w:rsidRPr="007A6EC1">
              <w:rPr>
                <w:rFonts w:ascii="Calibri" w:hAnsi="Calibri" w:cs="Calibri"/>
                <w:b/>
                <w:bCs/>
                <w:sz w:val="21"/>
                <w:szCs w:val="21"/>
                <w:lang w:val="el-GR"/>
              </w:rPr>
              <w:t>Ταμειακά διαθέσιμα και ισοδύναμα λήξης περιόδου</w:t>
            </w:r>
          </w:p>
        </w:tc>
        <w:tc>
          <w:tcPr>
            <w:tcW w:w="283" w:type="dxa"/>
            <w:tcBorders>
              <w:top w:val="nil"/>
              <w:left w:val="nil"/>
              <w:bottom w:val="nil"/>
              <w:right w:val="nil"/>
            </w:tcBorders>
            <w:shd w:val="clear" w:color="auto" w:fill="auto"/>
            <w:noWrap/>
            <w:vAlign w:val="bottom"/>
            <w:hideMark/>
          </w:tcPr>
          <w:p w14:paraId="5142E5F3" w14:textId="77777777" w:rsidR="00363E89" w:rsidRPr="007A6EC1" w:rsidRDefault="00363E89" w:rsidP="006623D7">
            <w:pPr>
              <w:rPr>
                <w:rFonts w:ascii="Calibri" w:hAnsi="Calibri" w:cs="Calibri"/>
                <w:b/>
                <w:bCs/>
                <w:sz w:val="21"/>
                <w:szCs w:val="21"/>
                <w:lang w:val="el-GR"/>
              </w:rPr>
            </w:pPr>
          </w:p>
        </w:tc>
        <w:tc>
          <w:tcPr>
            <w:tcW w:w="1547" w:type="dxa"/>
            <w:tcBorders>
              <w:top w:val="single" w:sz="4" w:space="0" w:color="4F81BD"/>
              <w:left w:val="nil"/>
              <w:bottom w:val="single" w:sz="4" w:space="0" w:color="4F81BD"/>
              <w:right w:val="nil"/>
            </w:tcBorders>
            <w:shd w:val="clear" w:color="000000" w:fill="F2F2F2"/>
            <w:noWrap/>
            <w:vAlign w:val="bottom"/>
            <w:hideMark/>
          </w:tcPr>
          <w:p w14:paraId="5142E5F4"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93.695</w:t>
            </w:r>
          </w:p>
        </w:tc>
        <w:tc>
          <w:tcPr>
            <w:tcW w:w="222" w:type="dxa"/>
            <w:tcBorders>
              <w:top w:val="nil"/>
              <w:left w:val="nil"/>
              <w:bottom w:val="nil"/>
              <w:right w:val="nil"/>
            </w:tcBorders>
            <w:shd w:val="clear" w:color="auto" w:fill="auto"/>
            <w:noWrap/>
            <w:vAlign w:val="bottom"/>
            <w:hideMark/>
          </w:tcPr>
          <w:p w14:paraId="5142E5F5" w14:textId="77777777" w:rsidR="00363E89" w:rsidRPr="007A6EC1" w:rsidRDefault="00363E89" w:rsidP="006623D7">
            <w:pPr>
              <w:jc w:val="right"/>
              <w:rPr>
                <w:rFonts w:ascii="Calibri" w:hAnsi="Calibri" w:cs="Calibri"/>
                <w:b/>
                <w:bCs/>
                <w:sz w:val="21"/>
                <w:szCs w:val="21"/>
                <w:lang w:val="el-GR"/>
              </w:rPr>
            </w:pPr>
          </w:p>
        </w:tc>
        <w:tc>
          <w:tcPr>
            <w:tcW w:w="1491" w:type="dxa"/>
            <w:tcBorders>
              <w:top w:val="single" w:sz="4" w:space="0" w:color="4F81BD"/>
              <w:left w:val="nil"/>
              <w:bottom w:val="single" w:sz="4" w:space="0" w:color="4F81BD"/>
              <w:right w:val="nil"/>
            </w:tcBorders>
            <w:shd w:val="clear" w:color="auto" w:fill="auto"/>
            <w:noWrap/>
            <w:vAlign w:val="bottom"/>
            <w:hideMark/>
          </w:tcPr>
          <w:p w14:paraId="5142E5F6" w14:textId="77777777" w:rsidR="00363E89" w:rsidRPr="007A6EC1" w:rsidRDefault="00363E89" w:rsidP="006623D7">
            <w:pPr>
              <w:jc w:val="right"/>
              <w:rPr>
                <w:rFonts w:ascii="Calibri" w:hAnsi="Calibri" w:cs="Calibri"/>
                <w:b/>
                <w:bCs/>
                <w:sz w:val="21"/>
                <w:szCs w:val="21"/>
                <w:lang w:val="el-GR"/>
              </w:rPr>
            </w:pPr>
            <w:r w:rsidRPr="007A6EC1">
              <w:rPr>
                <w:rFonts w:ascii="Calibri" w:hAnsi="Calibri" w:cs="Calibri"/>
                <w:b/>
                <w:bCs/>
                <w:sz w:val="21"/>
                <w:szCs w:val="21"/>
                <w:lang w:val="el-GR"/>
              </w:rPr>
              <w:t>240.339</w:t>
            </w:r>
          </w:p>
        </w:tc>
      </w:tr>
    </w:tbl>
    <w:p w14:paraId="5142E5F8" w14:textId="77777777" w:rsidR="00363E89" w:rsidRPr="00005C17" w:rsidRDefault="00363E89" w:rsidP="00363E89">
      <w:pPr>
        <w:rPr>
          <w:lang w:val="el-GR"/>
        </w:rPr>
      </w:pPr>
    </w:p>
    <w:p w14:paraId="5142E5F9" w14:textId="77777777" w:rsidR="00363E89" w:rsidRPr="00005C17" w:rsidRDefault="00363E89" w:rsidP="00363E89">
      <w:pPr>
        <w:rPr>
          <w:lang w:val="el-GR"/>
        </w:rPr>
      </w:pPr>
    </w:p>
    <w:p w14:paraId="5142E5FA" w14:textId="77777777" w:rsidR="00363E89" w:rsidRPr="00005C17" w:rsidRDefault="00363E89" w:rsidP="00363E89">
      <w:pPr>
        <w:spacing w:after="200" w:line="276" w:lineRule="auto"/>
        <w:rPr>
          <w:rFonts w:ascii="Calibri" w:eastAsiaTheme="minorEastAsia" w:hAnsi="Calibri" w:cs="Calibri"/>
          <w:b/>
          <w:bCs/>
          <w:noProof/>
          <w:color w:val="00183D"/>
          <w:sz w:val="28"/>
          <w:lang w:val="el-GR"/>
        </w:rPr>
      </w:pPr>
    </w:p>
    <w:p w14:paraId="5142E5FB" w14:textId="77777777" w:rsidR="00363E89" w:rsidRPr="00005C17" w:rsidRDefault="00363E89" w:rsidP="00363E89">
      <w:pPr>
        <w:spacing w:after="200" w:line="276" w:lineRule="auto"/>
        <w:rPr>
          <w:rFonts w:ascii="Calibri" w:eastAsiaTheme="minorEastAsia" w:hAnsi="Calibri" w:cs="Calibri"/>
          <w:b/>
          <w:bCs/>
          <w:noProof/>
          <w:color w:val="00183D"/>
          <w:sz w:val="28"/>
          <w:lang w:val="el-GR"/>
        </w:rPr>
      </w:pPr>
    </w:p>
    <w:p w14:paraId="5142E5FC" w14:textId="77777777" w:rsidR="00363E89" w:rsidRPr="00005C17" w:rsidRDefault="00363E89" w:rsidP="00363E89">
      <w:pPr>
        <w:spacing w:after="200" w:line="276" w:lineRule="auto"/>
        <w:rPr>
          <w:rFonts w:ascii="Calibri" w:eastAsiaTheme="minorEastAsia" w:hAnsi="Calibri" w:cs="Calibri"/>
          <w:b/>
          <w:bCs/>
          <w:noProof/>
          <w:color w:val="00183D"/>
          <w:sz w:val="28"/>
          <w:lang w:val="el-GR"/>
        </w:rPr>
      </w:pPr>
    </w:p>
    <w:p w14:paraId="5142E5FD" w14:textId="77777777" w:rsidR="00363E89" w:rsidRPr="00005C17" w:rsidRDefault="00363E89" w:rsidP="00363E89">
      <w:pPr>
        <w:spacing w:after="200" w:line="276" w:lineRule="auto"/>
        <w:rPr>
          <w:rFonts w:ascii="Calibri" w:eastAsiaTheme="minorEastAsia" w:hAnsi="Calibri" w:cs="Calibri"/>
          <w:b/>
          <w:bCs/>
          <w:noProof/>
          <w:color w:val="00183D"/>
          <w:sz w:val="28"/>
          <w:lang w:val="el-GR"/>
        </w:rPr>
      </w:pPr>
    </w:p>
    <w:p w14:paraId="5142E5FE" w14:textId="77777777" w:rsidR="00363E89" w:rsidRPr="00005C17" w:rsidRDefault="00363E89" w:rsidP="00363E89">
      <w:pPr>
        <w:pStyle w:val="C"/>
        <w:spacing w:line="240" w:lineRule="auto"/>
        <w:jc w:val="both"/>
        <w:rPr>
          <w:rFonts w:cs="Calibri"/>
          <w:noProof/>
          <w:lang w:val="el-GR" w:eastAsia="el-GR"/>
        </w:rPr>
      </w:pPr>
      <w:r w:rsidRPr="00005C17">
        <w:rPr>
          <w:rFonts w:cs="Calibri"/>
          <w:noProof/>
          <w:lang w:val="en-US"/>
        </w:rPr>
        <w:lastRenderedPageBreak/>
        <mc:AlternateContent>
          <mc:Choice Requires="wps">
            <w:drawing>
              <wp:anchor distT="0" distB="0" distL="114300" distR="114300" simplePos="0" relativeHeight="251658257" behindDoc="0" locked="0" layoutInCell="1" allowOverlap="1" wp14:anchorId="5142E652" wp14:editId="5142E653">
                <wp:simplePos x="0" y="0"/>
                <wp:positionH relativeFrom="column">
                  <wp:posOffset>-1633</wp:posOffset>
                </wp:positionH>
                <wp:positionV relativeFrom="paragraph">
                  <wp:posOffset>231887</wp:posOffset>
                </wp:positionV>
                <wp:extent cx="6112649"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6112649" cy="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63CDE9C3" id="Straight Connector 1" o:spid="_x0000_s1026" style="position:absolute;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25pt" to="481.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" strokecolor="#00183d" strokeweight=".25pt"/>
            </w:pict>
          </mc:Fallback>
        </mc:AlternateContent>
      </w:r>
      <w:r w:rsidRPr="00005C17">
        <w:rPr>
          <w:rFonts w:cs="Calibri"/>
          <w:noProof/>
          <w:lang w:val="el-GR" w:eastAsia="el-GR"/>
        </w:rPr>
        <w:t xml:space="preserve">Γενικοί Ορισμοί </w:t>
      </w:r>
    </w:p>
    <w:p w14:paraId="5142E5FF" w14:textId="77777777" w:rsidR="00363E89" w:rsidRPr="00005C17" w:rsidRDefault="00363E89" w:rsidP="00363E89">
      <w:pPr>
        <w:pStyle w:val="C"/>
        <w:jc w:val="both"/>
        <w:rPr>
          <w:rFonts w:cs="Calibri"/>
          <w:b w:val="0"/>
          <w:szCs w:val="28"/>
          <w:u w:val="single"/>
          <w:lang w:val="el-GR"/>
        </w:rPr>
      </w:pPr>
    </w:p>
    <w:p w14:paraId="5142E600" w14:textId="77777777" w:rsidR="00363E89" w:rsidRPr="00005C17" w:rsidRDefault="00363E89" w:rsidP="00363E89">
      <w:pPr>
        <w:pStyle w:val="C"/>
        <w:jc w:val="both"/>
        <w:rPr>
          <w:rFonts w:cs="Calibri"/>
          <w:b w:val="0"/>
          <w:szCs w:val="28"/>
          <w:u w:val="single"/>
          <w:lang w:val="el-GR"/>
        </w:rPr>
      </w:pPr>
      <w:r w:rsidRPr="00005C17">
        <w:rPr>
          <w:rFonts w:cs="Calibri"/>
          <w:b w:val="0"/>
          <w:szCs w:val="28"/>
          <w:u w:val="single"/>
          <w:lang w:val="el-GR"/>
        </w:rPr>
        <w:t>CAPEX</w:t>
      </w:r>
    </w:p>
    <w:p w14:paraId="5142E601" w14:textId="77777777" w:rsidR="00363E89" w:rsidRPr="00005C17" w:rsidRDefault="00363E89" w:rsidP="00363E89">
      <w:pPr>
        <w:pStyle w:val="C"/>
        <w:jc w:val="both"/>
        <w:rPr>
          <w:rFonts w:cs="Calibri"/>
          <w:b w:val="0"/>
          <w:sz w:val="21"/>
          <w:szCs w:val="21"/>
          <w:lang w:val="el-GR"/>
        </w:rPr>
      </w:pPr>
      <w:r w:rsidRPr="00005C17">
        <w:rPr>
          <w:rFonts w:cs="Calibri"/>
          <w:b w:val="0"/>
          <w:sz w:val="21"/>
          <w:szCs w:val="21"/>
          <w:lang w:val="el-GR"/>
        </w:rPr>
        <w:t>Κεφαλαιουχικές δαπάνες (CAPEX) ορίζονται ως οι αποκτήσεις ασώματων και ενσώματων ακινητοποιήσεων, δικαιωμάτων χρήσης στοιχείων και επενδυτικών παγίων.</w:t>
      </w:r>
    </w:p>
    <w:p w14:paraId="5142E602" w14:textId="77777777" w:rsidR="00363E89" w:rsidRPr="00005C17" w:rsidRDefault="00363E89" w:rsidP="00363E89">
      <w:pPr>
        <w:pStyle w:val="C"/>
        <w:jc w:val="both"/>
        <w:rPr>
          <w:rFonts w:cs="Calibri"/>
          <w:b w:val="0"/>
          <w:szCs w:val="28"/>
          <w:u w:val="single"/>
          <w:lang w:val="el-GR"/>
        </w:rPr>
      </w:pPr>
    </w:p>
    <w:p w14:paraId="5142E603" w14:textId="77777777" w:rsidR="00363E89" w:rsidRPr="00005C17" w:rsidRDefault="00363E89" w:rsidP="00363E89">
      <w:pPr>
        <w:pStyle w:val="C"/>
        <w:jc w:val="both"/>
        <w:rPr>
          <w:rFonts w:cs="Calibri"/>
          <w:b w:val="0"/>
          <w:szCs w:val="28"/>
          <w:u w:val="single"/>
          <w:lang w:val="el-GR"/>
        </w:rPr>
      </w:pPr>
      <w:r w:rsidRPr="00005C17">
        <w:rPr>
          <w:rFonts w:cs="Calibri"/>
          <w:b w:val="0"/>
          <w:szCs w:val="28"/>
          <w:u w:val="single"/>
          <w:lang w:val="el-GR"/>
        </w:rPr>
        <w:t>EBITDA</w:t>
      </w:r>
    </w:p>
    <w:p w14:paraId="5142E604" w14:textId="77777777" w:rsidR="00363E89" w:rsidRPr="00005C17" w:rsidRDefault="00363E89" w:rsidP="00363E89">
      <w:pPr>
        <w:pStyle w:val="C"/>
        <w:jc w:val="both"/>
        <w:rPr>
          <w:rFonts w:cs="Calibri"/>
          <w:b w:val="0"/>
          <w:sz w:val="21"/>
          <w:szCs w:val="21"/>
          <w:lang w:val="el-GR"/>
        </w:rPr>
      </w:pPr>
      <w:r w:rsidRPr="00005C17">
        <w:rPr>
          <w:rFonts w:cs="Calibri"/>
          <w:b w:val="0"/>
          <w:sz w:val="21"/>
          <w:szCs w:val="21"/>
          <w:lang w:val="el-GR"/>
        </w:rPr>
        <w:t xml:space="preserve">Ως EBITDA ορίζονται τα λειτουργικά κέρδη προ ζημιών </w:t>
      </w:r>
      <w:proofErr w:type="spellStart"/>
      <w:r w:rsidRPr="00005C17">
        <w:rPr>
          <w:rFonts w:cs="Calibri"/>
          <w:b w:val="0"/>
          <w:sz w:val="21"/>
          <w:szCs w:val="21"/>
          <w:lang w:val="el-GR"/>
        </w:rPr>
        <w:t>απομείωσης</w:t>
      </w:r>
      <w:proofErr w:type="spellEnd"/>
      <w:r w:rsidRPr="00005C17">
        <w:rPr>
          <w:rFonts w:cs="Calibri"/>
          <w:b w:val="0"/>
          <w:sz w:val="21"/>
          <w:szCs w:val="21"/>
          <w:lang w:val="el-GR"/>
        </w:rPr>
        <w:t xml:space="preserve"> υπεραξίας πλέον αποσβέσεων και </w:t>
      </w:r>
      <w:proofErr w:type="spellStart"/>
      <w:r w:rsidRPr="00005C17">
        <w:rPr>
          <w:rFonts w:cs="Calibri"/>
          <w:b w:val="0"/>
          <w:sz w:val="21"/>
          <w:szCs w:val="21"/>
          <w:lang w:val="el-GR"/>
        </w:rPr>
        <w:t>απομειώσεων</w:t>
      </w:r>
      <w:proofErr w:type="spellEnd"/>
      <w:r w:rsidRPr="00005C17">
        <w:rPr>
          <w:rFonts w:cs="Calibri"/>
          <w:b w:val="0"/>
          <w:sz w:val="21"/>
          <w:szCs w:val="21"/>
          <w:lang w:val="el-GR"/>
        </w:rPr>
        <w:t xml:space="preserve"> ασωμάτων και ενσώματων ακινητοποιήσεων και αποσβέσεων κρατικών επιχορηγήσεων. </w:t>
      </w:r>
    </w:p>
    <w:p w14:paraId="5142E605" w14:textId="77777777" w:rsidR="00363E89" w:rsidRPr="00005C17" w:rsidRDefault="00363E89" w:rsidP="00363E89">
      <w:pPr>
        <w:pStyle w:val="C"/>
        <w:jc w:val="both"/>
        <w:rPr>
          <w:rFonts w:cs="Calibri"/>
          <w:b w:val="0"/>
          <w:szCs w:val="28"/>
          <w:u w:val="single"/>
          <w:lang w:val="el-GR"/>
        </w:rPr>
      </w:pPr>
    </w:p>
    <w:p w14:paraId="5142E606" w14:textId="77777777" w:rsidR="00363E89" w:rsidRPr="00005C17" w:rsidRDefault="00363E89" w:rsidP="00363E89">
      <w:pPr>
        <w:pStyle w:val="C"/>
        <w:jc w:val="both"/>
        <w:rPr>
          <w:rFonts w:cs="Calibri"/>
          <w:b w:val="0"/>
          <w:szCs w:val="28"/>
          <w:u w:val="single"/>
          <w:lang w:val="el-GR"/>
        </w:rPr>
      </w:pPr>
      <w:r w:rsidRPr="00005C17">
        <w:rPr>
          <w:rFonts w:cs="Calibri"/>
          <w:b w:val="0"/>
          <w:szCs w:val="28"/>
          <w:u w:val="single"/>
          <w:lang w:val="el-GR"/>
        </w:rPr>
        <w:t>Καθαρός Δανεισμός</w:t>
      </w:r>
    </w:p>
    <w:p w14:paraId="5142E608" w14:textId="7343542F" w:rsidR="00363E89" w:rsidRDefault="00363E89" w:rsidP="00363E89">
      <w:pPr>
        <w:pStyle w:val="C"/>
        <w:jc w:val="both"/>
        <w:rPr>
          <w:rFonts w:cs="Calibri"/>
          <w:b w:val="0"/>
          <w:sz w:val="21"/>
          <w:szCs w:val="21"/>
          <w:lang w:val="el-GR"/>
        </w:rPr>
      </w:pPr>
      <w:r w:rsidRPr="00005C17">
        <w:rPr>
          <w:rFonts w:cs="Calibri"/>
          <w:b w:val="0"/>
          <w:sz w:val="21"/>
          <w:szCs w:val="21"/>
          <w:lang w:val="el-GR"/>
        </w:rPr>
        <w:t>Καθαρός δανεισμός ορίζεται ως το άθροισμα των μακροπρόθεσμων δανείων και υποχρεώσεων από μισθώσεις και των βραχυπρόθεσμων δανείων και υποχρεώσεων από μισθώσεις (συνολικά μικτός δανεισμός), μείον τα ταμειακά διαθέσιμα και ισοδύναμα.</w:t>
      </w:r>
    </w:p>
    <w:p w14:paraId="790195DE" w14:textId="77777777" w:rsidR="00F9367B" w:rsidRPr="00F9367B" w:rsidRDefault="00F9367B" w:rsidP="00363E89">
      <w:pPr>
        <w:pStyle w:val="C"/>
        <w:jc w:val="both"/>
        <w:rPr>
          <w:rFonts w:cs="Calibri"/>
          <w:b w:val="0"/>
          <w:sz w:val="21"/>
          <w:szCs w:val="21"/>
          <w:lang w:val="el-GR"/>
        </w:rPr>
      </w:pPr>
    </w:p>
    <w:p w14:paraId="5142E609" w14:textId="77777777" w:rsidR="00363E89" w:rsidRPr="00005C17" w:rsidRDefault="00363E89" w:rsidP="00363E89">
      <w:pPr>
        <w:pStyle w:val="C"/>
        <w:jc w:val="both"/>
        <w:rPr>
          <w:rFonts w:cs="Calibri"/>
          <w:b w:val="0"/>
          <w:szCs w:val="28"/>
          <w:u w:val="single"/>
          <w:lang w:val="el-GR"/>
        </w:rPr>
      </w:pPr>
      <w:r w:rsidRPr="00005C17">
        <w:rPr>
          <w:rFonts w:cs="Calibri"/>
          <w:b w:val="0"/>
          <w:szCs w:val="28"/>
          <w:u w:val="single"/>
          <w:lang w:val="el-GR"/>
        </w:rPr>
        <w:t>NPAT</w:t>
      </w:r>
    </w:p>
    <w:p w14:paraId="5142E60A" w14:textId="77777777" w:rsidR="00363E89" w:rsidRPr="00005C17" w:rsidRDefault="00363E89" w:rsidP="00363E89">
      <w:pPr>
        <w:pStyle w:val="C"/>
        <w:jc w:val="both"/>
        <w:rPr>
          <w:rFonts w:cs="Calibri"/>
          <w:b w:val="0"/>
          <w:szCs w:val="28"/>
          <w:u w:val="single"/>
          <w:lang w:val="el-GR"/>
        </w:rPr>
      </w:pPr>
      <w:r w:rsidRPr="00005C17">
        <w:rPr>
          <w:rFonts w:cs="Calibri"/>
          <w:b w:val="0"/>
          <w:sz w:val="21"/>
          <w:szCs w:val="21"/>
          <w:lang w:val="el-GR"/>
        </w:rPr>
        <w:t>Ως NPAT ορίζονται τα καθαρά κέρδη μετά από φόρους που αναλογούν στους μετόχους της μητρικής εταιρίας.</w:t>
      </w:r>
      <w:r w:rsidRPr="00005C17">
        <w:rPr>
          <w:rFonts w:cs="Calibri"/>
          <w:b w:val="0"/>
          <w:sz w:val="21"/>
          <w:szCs w:val="21"/>
          <w:lang w:val="el-GR"/>
        </w:rPr>
        <w:cr/>
      </w:r>
    </w:p>
    <w:p w14:paraId="5142E60B" w14:textId="77777777" w:rsidR="00363E89" w:rsidRPr="00005C17" w:rsidRDefault="00363E89" w:rsidP="00363E89">
      <w:pPr>
        <w:pStyle w:val="C"/>
        <w:jc w:val="both"/>
        <w:rPr>
          <w:b w:val="0"/>
          <w:bCs w:val="0"/>
          <w:szCs w:val="28"/>
          <w:u w:val="single"/>
          <w:lang w:val="el-GR"/>
        </w:rPr>
      </w:pPr>
      <w:r w:rsidRPr="00005C17">
        <w:rPr>
          <w:b w:val="0"/>
          <w:bCs w:val="0"/>
          <w:u w:val="single"/>
          <w:lang w:val="el-GR"/>
        </w:rPr>
        <w:t xml:space="preserve">Ελεύθερες Ταμειακές Ροές Λειτουργικών Δραστηριοτήτων </w:t>
      </w:r>
    </w:p>
    <w:p w14:paraId="5142E60C" w14:textId="77777777" w:rsidR="00363E89" w:rsidRPr="00005C17" w:rsidRDefault="00363E89" w:rsidP="00363E89">
      <w:pPr>
        <w:rPr>
          <w:rFonts w:ascii="Calibri" w:eastAsiaTheme="minorEastAsia" w:hAnsi="Calibri" w:cs="Calibri"/>
          <w:bCs/>
          <w:color w:val="00183D"/>
          <w:sz w:val="21"/>
          <w:szCs w:val="21"/>
          <w:lang w:val="el-GR"/>
        </w:rPr>
      </w:pPr>
      <w:r w:rsidRPr="00005C17">
        <w:rPr>
          <w:rFonts w:ascii="Calibri" w:eastAsiaTheme="minorEastAsia" w:hAnsi="Calibri" w:cs="Calibri"/>
          <w:bCs/>
          <w:color w:val="00183D"/>
          <w:sz w:val="21"/>
          <w:szCs w:val="21"/>
          <w:lang w:val="el-GR"/>
        </w:rPr>
        <w:t>Ως Ελεύθερες Ταμειακές Ροές Λειτουργικών Δραστηριοτήτων ορίζονται οι ταμειακές ροές από λειτουργικές δραστηριότητες πλέον των καταβεβλημένων φόρων εισοδήματος μείον των πληρωμών για CAPEX.</w:t>
      </w:r>
    </w:p>
    <w:p w14:paraId="5142E60D" w14:textId="77777777" w:rsidR="00363E89" w:rsidRPr="00005C17" w:rsidRDefault="00363E89" w:rsidP="00363E89">
      <w:pPr>
        <w:pStyle w:val="C"/>
        <w:jc w:val="both"/>
        <w:rPr>
          <w:rFonts w:cs="Calibri"/>
          <w:b w:val="0"/>
          <w:szCs w:val="28"/>
          <w:u w:val="single"/>
          <w:lang w:val="el-GR"/>
        </w:rPr>
      </w:pPr>
    </w:p>
    <w:p w14:paraId="5142E60E" w14:textId="77777777" w:rsidR="00363E89" w:rsidRPr="00005C17" w:rsidRDefault="00363E89" w:rsidP="00363E89">
      <w:pPr>
        <w:pStyle w:val="Copy"/>
        <w:jc w:val="both"/>
        <w:rPr>
          <w:rFonts w:ascii="Calibri" w:hAnsi="Calibri" w:cs="Calibri"/>
          <w:bCs/>
          <w:sz w:val="28"/>
          <w:szCs w:val="28"/>
          <w:u w:val="single"/>
          <w:lang w:val="el-GR"/>
        </w:rPr>
      </w:pPr>
      <w:r w:rsidRPr="00005C17">
        <w:rPr>
          <w:rFonts w:ascii="Calibri" w:hAnsi="Calibri" w:cs="Calibri"/>
          <w:bCs/>
          <w:sz w:val="28"/>
          <w:szCs w:val="28"/>
          <w:u w:val="single"/>
          <w:lang w:val="el-GR"/>
        </w:rPr>
        <w:t>Λειτουργικά κέρδη</w:t>
      </w:r>
    </w:p>
    <w:p w14:paraId="5142E60F" w14:textId="77777777" w:rsidR="00363E89" w:rsidRPr="00005C17" w:rsidRDefault="00363E89" w:rsidP="00363E89">
      <w:pPr>
        <w:rPr>
          <w:rFonts w:ascii="Calibri" w:eastAsiaTheme="minorEastAsia" w:hAnsi="Calibri" w:cs="Calibri"/>
          <w:bCs/>
          <w:color w:val="00183D"/>
          <w:sz w:val="21"/>
          <w:szCs w:val="21"/>
          <w:lang w:val="el-GR"/>
        </w:rPr>
      </w:pPr>
      <w:r w:rsidRPr="00005C17">
        <w:rPr>
          <w:rFonts w:ascii="Calibri" w:eastAsiaTheme="minorEastAsia" w:hAnsi="Calibri" w:cs="Calibri"/>
          <w:bCs/>
          <w:color w:val="00183D"/>
          <w:sz w:val="21"/>
          <w:szCs w:val="21"/>
          <w:lang w:val="el-GR"/>
        </w:rPr>
        <w:t>Τα λειτουργικά κέρδη ορίζονται ως κέρδη προ φόρων, συμμετοχών στα κέρδη/(ζημιές) συγγενών εταιριών και</w:t>
      </w:r>
    </w:p>
    <w:p w14:paraId="5142E610" w14:textId="77777777" w:rsidR="00363E89" w:rsidRPr="00005C17" w:rsidRDefault="00363E89" w:rsidP="00363E89">
      <w:pPr>
        <w:rPr>
          <w:rFonts w:ascii="Calibri" w:eastAsiaTheme="minorEastAsia" w:hAnsi="Calibri" w:cs="Calibri"/>
          <w:bCs/>
          <w:color w:val="00183D"/>
          <w:sz w:val="21"/>
          <w:szCs w:val="21"/>
          <w:lang w:val="el-GR"/>
        </w:rPr>
      </w:pPr>
      <w:r w:rsidRPr="00005C17">
        <w:rPr>
          <w:rFonts w:ascii="Calibri" w:eastAsiaTheme="minorEastAsia" w:hAnsi="Calibri" w:cs="Calibri"/>
          <w:bCs/>
          <w:color w:val="00183D"/>
          <w:sz w:val="21"/>
          <w:szCs w:val="21"/>
          <w:lang w:val="el-GR"/>
        </w:rPr>
        <w:t>κοινοπραξιών, κερδών/(ζημιών) από συναλλαγματικές διαφορές, καθαρών εξόδων χρηματοοικονομικής</w:t>
      </w:r>
    </w:p>
    <w:p w14:paraId="5142E611" w14:textId="77777777" w:rsidR="00363E89" w:rsidRPr="00005C17" w:rsidRDefault="00363E89" w:rsidP="00363E89">
      <w:pPr>
        <w:rPr>
          <w:rFonts w:ascii="Calibri" w:eastAsiaTheme="minorEastAsia" w:hAnsi="Calibri" w:cs="Calibri"/>
          <w:bCs/>
          <w:color w:val="00183D"/>
          <w:sz w:val="21"/>
          <w:szCs w:val="21"/>
          <w:lang w:val="el-GR"/>
        </w:rPr>
      </w:pPr>
      <w:r w:rsidRPr="00005C17">
        <w:rPr>
          <w:rFonts w:ascii="Calibri" w:eastAsiaTheme="minorEastAsia" w:hAnsi="Calibri" w:cs="Calibri"/>
          <w:bCs/>
          <w:color w:val="00183D"/>
          <w:sz w:val="21"/>
          <w:szCs w:val="21"/>
          <w:lang w:val="el-GR"/>
        </w:rPr>
        <w:t>λειτουργίας και λοιπών εσοδών/(ζημιών).</w:t>
      </w:r>
    </w:p>
    <w:p w14:paraId="5142E612" w14:textId="77777777" w:rsidR="00363E89" w:rsidRPr="00005C17" w:rsidRDefault="00363E89" w:rsidP="00363E89">
      <w:pPr>
        <w:rPr>
          <w:rFonts w:ascii="Calibri" w:eastAsiaTheme="minorEastAsia" w:hAnsi="Calibri" w:cs="Calibri"/>
          <w:bCs/>
          <w:color w:val="00183D"/>
          <w:sz w:val="21"/>
          <w:szCs w:val="21"/>
          <w:lang w:val="el-GR"/>
        </w:rPr>
      </w:pPr>
    </w:p>
    <w:p w14:paraId="5142E613" w14:textId="77777777" w:rsidR="00BD5563" w:rsidRDefault="00BD5563" w:rsidP="00BD5563">
      <w:pPr>
        <w:spacing w:after="200" w:line="276" w:lineRule="auto"/>
        <w:rPr>
          <w:lang w:val="el-GR"/>
        </w:rPr>
      </w:pPr>
    </w:p>
    <w:p w14:paraId="5142E614" w14:textId="77777777" w:rsidR="00363E89" w:rsidRDefault="00363E89" w:rsidP="00BD5563">
      <w:pPr>
        <w:spacing w:after="200" w:line="276" w:lineRule="auto"/>
        <w:rPr>
          <w:lang w:val="el-GR"/>
        </w:rPr>
      </w:pPr>
    </w:p>
    <w:p w14:paraId="5142E615" w14:textId="77777777" w:rsidR="00363E89" w:rsidRPr="00E37C77" w:rsidRDefault="00363E89" w:rsidP="00BD5563">
      <w:pPr>
        <w:spacing w:after="200" w:line="276" w:lineRule="auto"/>
        <w:rPr>
          <w:lang w:val="el-GR"/>
        </w:rPr>
      </w:pPr>
    </w:p>
    <w:p w14:paraId="5142E616" w14:textId="77777777" w:rsidR="006F4DE8" w:rsidRDefault="006F4DE8" w:rsidP="00C92C45">
      <w:pPr>
        <w:spacing w:after="200" w:line="276" w:lineRule="auto"/>
        <w:jc w:val="both"/>
        <w:rPr>
          <w:rFonts w:ascii="Calibri" w:eastAsiaTheme="minorEastAsia" w:hAnsi="Calibri" w:cs="Calibri"/>
          <w:bCs/>
          <w:color w:val="00183D"/>
          <w:sz w:val="21"/>
          <w:szCs w:val="21"/>
          <w:lang w:val="el-GR"/>
        </w:rPr>
      </w:pPr>
    </w:p>
    <w:p w14:paraId="5142E617" w14:textId="77777777" w:rsidR="00BD5563" w:rsidRPr="00FF076E" w:rsidRDefault="00BD5563" w:rsidP="00BD5563">
      <w:pPr>
        <w:pStyle w:val="C"/>
        <w:spacing w:line="240" w:lineRule="auto"/>
        <w:jc w:val="both"/>
        <w:rPr>
          <w:rFonts w:cs="Calibri"/>
        </w:rPr>
      </w:pPr>
      <w:r>
        <w:rPr>
          <w:rFonts w:cs="Calibri"/>
          <w:noProof/>
          <w:lang w:val="en-US"/>
        </w:rPr>
        <mc:AlternateContent>
          <mc:Choice Requires="wps">
            <w:drawing>
              <wp:anchor distT="4294967295" distB="4294967295" distL="114300" distR="114300" simplePos="0" relativeHeight="251658247" behindDoc="0" locked="0" layoutInCell="1" allowOverlap="1" wp14:anchorId="5142E654" wp14:editId="5142E655">
                <wp:simplePos x="0" y="0"/>
                <wp:positionH relativeFrom="margin">
                  <wp:align>left</wp:align>
                </wp:positionH>
                <wp:positionV relativeFrom="paragraph">
                  <wp:posOffset>214630</wp:posOffset>
                </wp:positionV>
                <wp:extent cx="5905500" cy="1905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19050"/>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
            <w:pict>
              <v:line w14:anchorId="41892D52" id="Straight Connector 25" o:spid="_x0000_s1026" style="position:absolute;flip:y;z-index:251658247;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6.9pt" to="4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" strokecolor="#00183d" strokeweight=".25pt">
                <o:lock v:ext="edit" shapetype="f"/>
                <w10:wrap anchorx="margin"/>
              </v:line>
            </w:pict>
          </mc:Fallback>
        </mc:AlternateContent>
      </w:r>
      <w:r>
        <w:rPr>
          <w:rFonts w:cs="Calibri"/>
          <w:lang w:val="el-GR"/>
        </w:rPr>
        <w:t>Οικονομικό Ημερολόγιο</w:t>
      </w:r>
    </w:p>
    <w:tbl>
      <w:tblPr>
        <w:tblStyle w:val="GridTable1Light-Accent61"/>
        <w:tblW w:w="971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00"/>
        <w:gridCol w:w="7732"/>
      </w:tblGrid>
      <w:tr w:rsidR="00BD5563" w:rsidRPr="00F575A4" w14:paraId="5142E61A" w14:textId="77777777" w:rsidTr="007051CC">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992" w:type="dxa"/>
            <w:tcBorders>
              <w:bottom w:val="none" w:sz="0" w:space="0" w:color="auto"/>
            </w:tcBorders>
            <w:noWrap/>
            <w:hideMark/>
          </w:tcPr>
          <w:p w14:paraId="5142E618" w14:textId="77777777" w:rsidR="00BD5563" w:rsidRPr="00FF076E" w:rsidRDefault="00BD5563" w:rsidP="002B5715">
            <w:pPr>
              <w:jc w:val="both"/>
              <w:rPr>
                <w:rFonts w:ascii="Calibri" w:hAnsi="Calibri" w:cs="Calibri"/>
                <w:color w:val="00183D"/>
                <w:sz w:val="21"/>
                <w:szCs w:val="21"/>
              </w:rPr>
            </w:pPr>
            <w:r w:rsidRPr="00580D1B">
              <w:rPr>
                <w:rFonts w:ascii="Calibri" w:hAnsi="Calibri" w:cs="Calibri"/>
                <w:color w:val="00183D"/>
                <w:sz w:val="21"/>
                <w:szCs w:val="21"/>
              </w:rPr>
              <w:t>12</w:t>
            </w:r>
            <w:r w:rsidRPr="00FF076E">
              <w:rPr>
                <w:rFonts w:ascii="Calibri" w:hAnsi="Calibri" w:cs="Calibri"/>
                <w:color w:val="00183D"/>
                <w:sz w:val="21"/>
                <w:szCs w:val="21"/>
              </w:rPr>
              <w:t xml:space="preserve"> </w:t>
            </w:r>
            <w:r>
              <w:rPr>
                <w:rFonts w:ascii="Calibri" w:hAnsi="Calibri" w:cs="Calibri"/>
                <w:color w:val="00183D"/>
                <w:sz w:val="21"/>
                <w:szCs w:val="21"/>
                <w:lang w:val="el-GR"/>
              </w:rPr>
              <w:t>Νοεμ</w:t>
            </w:r>
            <w:r w:rsidR="004C0468">
              <w:rPr>
                <w:rFonts w:ascii="Calibri" w:hAnsi="Calibri" w:cs="Calibri"/>
                <w:color w:val="00183D"/>
                <w:sz w:val="21"/>
                <w:szCs w:val="21"/>
                <w:lang w:val="el-GR"/>
              </w:rPr>
              <w:t>βρίου</w:t>
            </w:r>
            <w:r>
              <w:rPr>
                <w:rFonts w:ascii="Calibri" w:hAnsi="Calibri" w:cs="Calibri"/>
                <w:color w:val="00183D"/>
                <w:sz w:val="21"/>
                <w:szCs w:val="21"/>
                <w:lang w:val="el-GR"/>
              </w:rPr>
              <w:t xml:space="preserve"> </w:t>
            </w:r>
            <w:r w:rsidRPr="00580D1B">
              <w:rPr>
                <w:rFonts w:ascii="Calibri" w:hAnsi="Calibri" w:cs="Calibri"/>
                <w:color w:val="00183D"/>
                <w:sz w:val="21"/>
                <w:szCs w:val="21"/>
              </w:rPr>
              <w:t>2020</w:t>
            </w:r>
          </w:p>
        </w:tc>
        <w:tc>
          <w:tcPr>
            <w:tcW w:w="7724" w:type="dxa"/>
            <w:tcBorders>
              <w:bottom w:val="none" w:sz="0" w:space="0" w:color="auto"/>
            </w:tcBorders>
            <w:noWrap/>
            <w:hideMark/>
          </w:tcPr>
          <w:p w14:paraId="5142E619" w14:textId="77777777" w:rsidR="00BD5563" w:rsidRPr="00C03F46" w:rsidRDefault="00A90173" w:rsidP="004C0468">
            <w:pPr>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00183D"/>
                <w:sz w:val="21"/>
                <w:szCs w:val="21"/>
                <w:lang w:val="el-GR"/>
              </w:rPr>
            </w:pPr>
            <w:r w:rsidRPr="00A90173">
              <w:rPr>
                <w:rFonts w:ascii="Calibri" w:hAnsi="Calibri" w:cs="Calibri"/>
                <w:color w:val="00183D"/>
                <w:sz w:val="21"/>
                <w:szCs w:val="21"/>
                <w:lang w:val="el-GR"/>
              </w:rPr>
              <w:t>Ανακοίνωση Αποτελεσμάτων Γ΄</w:t>
            </w:r>
            <w:r w:rsidR="00067700">
              <w:rPr>
                <w:rFonts w:ascii="Calibri" w:hAnsi="Calibri" w:cs="Calibri"/>
                <w:color w:val="00183D"/>
                <w:sz w:val="21"/>
                <w:szCs w:val="21"/>
                <w:lang w:val="el-GR"/>
              </w:rPr>
              <w:t xml:space="preserve"> </w:t>
            </w:r>
            <w:r w:rsidRPr="00A90173">
              <w:rPr>
                <w:rFonts w:ascii="Calibri" w:hAnsi="Calibri" w:cs="Calibri"/>
                <w:color w:val="00183D"/>
                <w:sz w:val="21"/>
                <w:szCs w:val="21"/>
                <w:lang w:val="el-GR"/>
              </w:rPr>
              <w:t xml:space="preserve">τριμήνου </w:t>
            </w:r>
            <w:r w:rsidRPr="00580D1B">
              <w:rPr>
                <w:rFonts w:ascii="Calibri" w:hAnsi="Calibri" w:cs="Calibri"/>
                <w:color w:val="00183D"/>
                <w:sz w:val="21"/>
                <w:szCs w:val="21"/>
                <w:lang w:val="el-GR"/>
              </w:rPr>
              <w:t>2020</w:t>
            </w:r>
            <w:r w:rsidRPr="00A90173">
              <w:rPr>
                <w:rFonts w:ascii="Calibri" w:hAnsi="Calibri" w:cs="Calibri"/>
                <w:color w:val="00183D"/>
                <w:sz w:val="21"/>
                <w:szCs w:val="21"/>
                <w:lang w:val="el-GR"/>
              </w:rPr>
              <w:t xml:space="preserve"> </w:t>
            </w:r>
          </w:p>
        </w:tc>
      </w:tr>
    </w:tbl>
    <w:p w14:paraId="5142E61B" w14:textId="77777777" w:rsidR="003A2661" w:rsidRPr="003A2661" w:rsidRDefault="003A2661" w:rsidP="003A2661">
      <w:pPr>
        <w:pStyle w:val="Copy-bullets"/>
        <w:rPr>
          <w:lang w:val="el-GR"/>
        </w:rPr>
      </w:pPr>
      <w:r w:rsidRPr="003A2661">
        <w:rPr>
          <w:lang w:val="el-GR"/>
        </w:rPr>
        <w:t xml:space="preserve">Το παρόν δελτίο τύπου είναι διαθέσιμο στον διαδικτυακό τόπο της </w:t>
      </w:r>
      <w:r w:rsidRPr="002E3B60">
        <w:t>Titan</w:t>
      </w:r>
      <w:r w:rsidRPr="003A2661">
        <w:rPr>
          <w:lang w:val="el-GR"/>
        </w:rPr>
        <w:t xml:space="preserve"> </w:t>
      </w:r>
      <w:r w:rsidRPr="002E3B60">
        <w:t>Cement</w:t>
      </w:r>
      <w:r w:rsidRPr="003A2661">
        <w:rPr>
          <w:lang w:val="el-GR"/>
        </w:rPr>
        <w:t xml:space="preserve"> </w:t>
      </w:r>
      <w:r w:rsidRPr="002E3B60">
        <w:t>International</w:t>
      </w:r>
      <w:r w:rsidRPr="003A2661">
        <w:rPr>
          <w:lang w:val="el-GR"/>
        </w:rPr>
        <w:t xml:space="preserve"> </w:t>
      </w:r>
      <w:r w:rsidRPr="002E3B60">
        <w:t>SA</w:t>
      </w:r>
      <w:r w:rsidRPr="003A2661">
        <w:rPr>
          <w:lang w:val="el-GR"/>
        </w:rPr>
        <w:t xml:space="preserve"> μέσω του συνδέσμου </w:t>
      </w:r>
      <w:hyperlink r:id="rId19" w:history="1">
        <w:r w:rsidRPr="002E3B60">
          <w:rPr>
            <w:color w:val="00AAD6"/>
          </w:rPr>
          <w:t>https</w:t>
        </w:r>
        <w:r w:rsidRPr="003A2661">
          <w:rPr>
            <w:color w:val="00AAD6"/>
            <w:lang w:val="el-GR"/>
          </w:rPr>
          <w:t>://</w:t>
        </w:r>
        <w:proofErr w:type="spellStart"/>
        <w:r w:rsidRPr="002E3B60">
          <w:rPr>
            <w:color w:val="00AAD6"/>
          </w:rPr>
          <w:t>ir</w:t>
        </w:r>
        <w:proofErr w:type="spellEnd"/>
        <w:r w:rsidRPr="003A2661">
          <w:rPr>
            <w:color w:val="00AAD6"/>
            <w:lang w:val="el-GR"/>
          </w:rPr>
          <w:t>.</w:t>
        </w:r>
        <w:r w:rsidRPr="002E3B60">
          <w:rPr>
            <w:color w:val="00AAD6"/>
          </w:rPr>
          <w:t>titan</w:t>
        </w:r>
        <w:r w:rsidRPr="003A2661">
          <w:rPr>
            <w:color w:val="00AAD6"/>
            <w:lang w:val="el-GR"/>
          </w:rPr>
          <w:t>-</w:t>
        </w:r>
        <w:r w:rsidRPr="002E3B60">
          <w:rPr>
            <w:color w:val="00AAD6"/>
          </w:rPr>
          <w:t>cement</w:t>
        </w:r>
        <w:r w:rsidRPr="003A2661">
          <w:rPr>
            <w:color w:val="00AAD6"/>
            <w:lang w:val="el-GR"/>
          </w:rPr>
          <w:t>.</w:t>
        </w:r>
        <w:r w:rsidRPr="002E3B60">
          <w:rPr>
            <w:color w:val="00AAD6"/>
          </w:rPr>
          <w:t>com</w:t>
        </w:r>
      </w:hyperlink>
    </w:p>
    <w:p w14:paraId="5142E61C" w14:textId="77777777" w:rsidR="00643366" w:rsidRPr="004C0468" w:rsidRDefault="00643366" w:rsidP="00643366">
      <w:pPr>
        <w:pStyle w:val="Copy-bullets"/>
        <w:rPr>
          <w:rFonts w:eastAsia="Times New Roman" w:cs="Calibri"/>
          <w:lang w:val="el-GR" w:eastAsia="el-GR"/>
        </w:rPr>
      </w:pPr>
      <w:r w:rsidRPr="002E3B60">
        <w:rPr>
          <w:rFonts w:cs="Calibri"/>
          <w:lang w:val="el-GR"/>
        </w:rPr>
        <w:t xml:space="preserve">Για περισσότερες πληροφορίες επικοινωνήστε με το τμήμα Επενδυτικών </w:t>
      </w:r>
      <w:r w:rsidR="004C0468">
        <w:rPr>
          <w:rFonts w:cs="Calibri"/>
          <w:lang w:val="el-GR"/>
        </w:rPr>
        <w:t xml:space="preserve">Σχέσεων, </w:t>
      </w:r>
      <w:proofErr w:type="spellStart"/>
      <w:r w:rsidR="004C0468">
        <w:rPr>
          <w:rFonts w:cs="Calibri"/>
          <w:lang w:val="el-GR"/>
        </w:rPr>
        <w:t>τηλ</w:t>
      </w:r>
      <w:proofErr w:type="spellEnd"/>
      <w:r w:rsidR="004C0468">
        <w:rPr>
          <w:rFonts w:cs="Calibri"/>
          <w:lang w:val="el-GR"/>
        </w:rPr>
        <w:t>. +30 210 2591 257</w:t>
      </w:r>
    </w:p>
    <w:p w14:paraId="5142E61D" w14:textId="77777777" w:rsidR="004C0468" w:rsidRPr="00A63882" w:rsidRDefault="00896B2B" w:rsidP="004C0468">
      <w:pPr>
        <w:pStyle w:val="Copy-bullets"/>
        <w:rPr>
          <w:lang w:val="el-GR"/>
        </w:rPr>
      </w:pPr>
      <w:r>
        <w:rPr>
          <w:lang w:val="el-GR"/>
        </w:rPr>
        <w:t>Τα αποτελέσματα Α’ εξαμήνου 2021 θα συζητηθούν μέσω ζωντανής τηλεδιάσκεψης την Πέμπτη, 29 Ιουλίου 2021</w:t>
      </w:r>
      <w:r w:rsidR="004C0468">
        <w:rPr>
          <w:lang w:val="el-GR"/>
        </w:rPr>
        <w:t xml:space="preserve">, </w:t>
      </w:r>
      <w:r>
        <w:rPr>
          <w:lang w:val="el-GR"/>
        </w:rPr>
        <w:t xml:space="preserve">στις </w:t>
      </w:r>
      <w:r w:rsidR="004C0468">
        <w:rPr>
          <w:lang w:val="el-GR"/>
        </w:rPr>
        <w:t>15:</w:t>
      </w:r>
      <w:r w:rsidR="00352975" w:rsidRPr="00A02F36">
        <w:rPr>
          <w:lang w:val="el-GR"/>
        </w:rPr>
        <w:t>0</w:t>
      </w:r>
      <w:r w:rsidR="004C0468" w:rsidRPr="004C0468">
        <w:rPr>
          <w:lang w:val="el-GR"/>
        </w:rPr>
        <w:t xml:space="preserve">0 </w:t>
      </w:r>
      <w:r w:rsidR="004C0468">
        <w:t>CEST</w:t>
      </w:r>
      <w:r w:rsidR="00A63882">
        <w:rPr>
          <w:lang w:val="el-GR"/>
        </w:rPr>
        <w:t xml:space="preserve">. Η τηλεδιάσκεψη θα πραγματοποιηθεί στην αγγλική γλώσσα. Παρακαλούμε εγγραφείτε </w:t>
      </w:r>
      <w:r w:rsidR="004C0468" w:rsidRPr="004C0468">
        <w:rPr>
          <w:lang w:val="el-GR"/>
        </w:rPr>
        <w:t xml:space="preserve"> </w:t>
      </w:r>
      <w:r w:rsidR="00A63882">
        <w:rPr>
          <w:lang w:val="el-GR"/>
        </w:rPr>
        <w:t>πριν την έναρξη της τηλεδιάσκεψης στον ακόλουθο σύνδεσμο</w:t>
      </w:r>
      <w:r w:rsidR="004C0468" w:rsidRPr="004C0468">
        <w:rPr>
          <w:lang w:val="el-GR"/>
        </w:rPr>
        <w:t xml:space="preserve">: </w:t>
      </w:r>
      <w:hyperlink r:id="rId20" w:history="1">
        <w:r w:rsidR="00A63882" w:rsidRPr="00A63882">
          <w:rPr>
            <w:color w:val="00AAD6"/>
            <w:lang w:val="el-GR"/>
          </w:rPr>
          <w:t>https://87399.themediaframe.eu/links/titan200730.html</w:t>
        </w:r>
      </w:hyperlink>
      <w:r w:rsidR="00A63882">
        <w:rPr>
          <w:rFonts w:ascii="Calibri" w:hAnsi="Calibri" w:cs="Calibri"/>
          <w:color w:val="00AAD6"/>
          <w:lang w:val="el-GR"/>
        </w:rPr>
        <w:t xml:space="preserve"> </w:t>
      </w:r>
      <w:r w:rsidR="00A63882" w:rsidRPr="00A63882">
        <w:rPr>
          <w:lang w:val="el-GR"/>
        </w:rPr>
        <w:t>.</w:t>
      </w:r>
      <w:r w:rsidR="00A63882">
        <w:rPr>
          <w:rFonts w:ascii="Calibri" w:hAnsi="Calibri" w:cs="Calibri"/>
          <w:color w:val="00AAD6"/>
          <w:lang w:val="el-GR"/>
        </w:rPr>
        <w:t xml:space="preserve"> </w:t>
      </w:r>
      <w:r w:rsidR="00A63882" w:rsidRPr="00A63882">
        <w:rPr>
          <w:lang w:val="el-GR"/>
        </w:rPr>
        <w:t>Η τηλεδιάσκεψη</w:t>
      </w:r>
      <w:r w:rsidR="00A63882">
        <w:rPr>
          <w:rFonts w:ascii="Calibri" w:hAnsi="Calibri" w:cs="Calibri"/>
          <w:color w:val="00AAD6"/>
          <w:lang w:val="el-GR"/>
        </w:rPr>
        <w:t xml:space="preserve"> </w:t>
      </w:r>
      <w:r w:rsidR="00A63882" w:rsidRPr="00A63882">
        <w:rPr>
          <w:lang w:val="el-GR"/>
        </w:rPr>
        <w:t>θα είναι διαθέσιμη για να την παρακολουθήσετε σε επανάληψη από τις 29 Ιουλίου 2021 στις 17:00 CEST.</w:t>
      </w:r>
      <w:r w:rsidR="00A63882" w:rsidRPr="00A63882">
        <w:rPr>
          <w:rFonts w:ascii="Calibri" w:hAnsi="Calibri" w:cs="Calibri"/>
          <w:color w:val="00AAD6"/>
          <w:lang w:val="el-GR"/>
        </w:rPr>
        <w:t xml:space="preserve"> </w:t>
      </w:r>
      <w:r w:rsidR="00A63882">
        <w:rPr>
          <w:rFonts w:ascii="Calibri" w:hAnsi="Calibri" w:cs="Calibri"/>
          <w:color w:val="00AAD6"/>
          <w:lang w:val="el-GR"/>
        </w:rPr>
        <w:t xml:space="preserve"> </w:t>
      </w:r>
    </w:p>
    <w:p w14:paraId="749BABDE" w14:textId="77777777" w:rsidR="001A7008" w:rsidRDefault="006623D7" w:rsidP="006623D7">
      <w:pPr>
        <w:pStyle w:val="Copy-bullets"/>
        <w:numPr>
          <w:ilvl w:val="0"/>
          <w:numId w:val="0"/>
        </w:numPr>
        <w:rPr>
          <w:lang w:val="el-GR"/>
        </w:rPr>
      </w:pPr>
      <w:r w:rsidRPr="006623D7">
        <w:rPr>
          <w:lang w:val="el-GR"/>
        </w:rPr>
        <w:t>Η ελεγκτική εταιρία «</w:t>
      </w:r>
      <w:proofErr w:type="spellStart"/>
      <w:r w:rsidRPr="006623D7">
        <w:rPr>
          <w:lang w:val="el-GR"/>
        </w:rPr>
        <w:t>PwC</w:t>
      </w:r>
      <w:proofErr w:type="spellEnd"/>
      <w:r w:rsidRPr="006623D7">
        <w:rPr>
          <w:lang w:val="el-GR"/>
        </w:rPr>
        <w:t xml:space="preserve"> </w:t>
      </w:r>
      <w:proofErr w:type="spellStart"/>
      <w:r w:rsidRPr="006623D7">
        <w:rPr>
          <w:lang w:val="el-GR"/>
        </w:rPr>
        <w:t>Réviseurs</w:t>
      </w:r>
      <w:proofErr w:type="spellEnd"/>
      <w:r w:rsidRPr="006623D7">
        <w:rPr>
          <w:lang w:val="el-GR"/>
        </w:rPr>
        <w:t xml:space="preserve"> </w:t>
      </w:r>
      <w:proofErr w:type="spellStart"/>
      <w:r w:rsidRPr="006623D7">
        <w:rPr>
          <w:lang w:val="el-GR"/>
        </w:rPr>
        <w:t>d’Entreprises</w:t>
      </w:r>
      <w:proofErr w:type="spellEnd"/>
      <w:r w:rsidRPr="006623D7">
        <w:rPr>
          <w:lang w:val="el-GR"/>
        </w:rPr>
        <w:t xml:space="preserve"> SRL», εκπροσωπούμενη από τον </w:t>
      </w:r>
      <w:proofErr w:type="spellStart"/>
      <w:r w:rsidRPr="006623D7">
        <w:rPr>
          <w:lang w:val="el-GR"/>
        </w:rPr>
        <w:t>Didier</w:t>
      </w:r>
      <w:proofErr w:type="spellEnd"/>
      <w:r w:rsidRPr="006623D7">
        <w:rPr>
          <w:lang w:val="el-GR"/>
        </w:rPr>
        <w:t xml:space="preserve"> </w:t>
      </w:r>
      <w:proofErr w:type="spellStart"/>
      <w:r w:rsidRPr="006623D7">
        <w:rPr>
          <w:lang w:val="el-GR"/>
        </w:rPr>
        <w:t>Delanoye</w:t>
      </w:r>
      <w:proofErr w:type="spellEnd"/>
      <w:r w:rsidRPr="006623D7">
        <w:rPr>
          <w:lang w:val="el-GR"/>
        </w:rPr>
        <w:t xml:space="preserve">, διενέργησε επισκόπηση των «Ενδιάμεσων Συνοπτικών Ενοποιημένων Οικονομικών Καταστάσεων» της εταιρίας TITAN Cement International S.A.. Η ελεγκτική εταιρία δεν έχει κανένα σχόλιο επί αυτών των ενδιάμεσων οικονομικών καταστάσεων. </w:t>
      </w:r>
    </w:p>
    <w:p w14:paraId="5142E61E" w14:textId="7194CD7A" w:rsidR="006623D7" w:rsidRPr="006623D7" w:rsidRDefault="006623D7" w:rsidP="006623D7">
      <w:pPr>
        <w:pStyle w:val="Copy-bullets"/>
        <w:numPr>
          <w:ilvl w:val="0"/>
          <w:numId w:val="0"/>
        </w:numPr>
        <w:rPr>
          <w:rFonts w:eastAsia="Times New Roman"/>
          <w:lang w:val="el-GR" w:eastAsia="el-GR"/>
        </w:rPr>
      </w:pPr>
      <w:r w:rsidRPr="006623D7">
        <w:rPr>
          <w:lang w:val="el-GR"/>
        </w:rPr>
        <w:t xml:space="preserve">Η έκθεση επισκόπησης συμπεριλαμβάνεται στις Ενδιάμεσες Συνοπτικές Ενοποιημένες Οικονομικές Καταστάσεις του Ομίλου, οι οποίες είναι διαθέσιμες στην ιστοσελίδα της εταιρίας μέσω του συνδέσμου: </w:t>
      </w:r>
      <w:hyperlink r:id="rId21" w:history="1">
        <w:r w:rsidR="00C26E91" w:rsidRPr="00C26E91">
          <w:rPr>
            <w:color w:val="00AAD6"/>
            <w:lang w:val="el-GR"/>
          </w:rPr>
          <w:t>https://ir.titan-cement.com/el/investor-information/financial-results</w:t>
        </w:r>
      </w:hyperlink>
      <w:r w:rsidR="00C26E91" w:rsidRPr="00C26E91">
        <w:rPr>
          <w:lang w:val="el-GR"/>
        </w:rPr>
        <w:t xml:space="preserve"> </w:t>
      </w:r>
    </w:p>
    <w:p w14:paraId="5142E620" w14:textId="77777777" w:rsidR="00643366" w:rsidRPr="002E3B60" w:rsidRDefault="00643366" w:rsidP="00643366">
      <w:pPr>
        <w:jc w:val="both"/>
        <w:rPr>
          <w:rFonts w:ascii="Calibri Light" w:hAnsi="Calibri Light" w:cs="Calibri"/>
          <w:i/>
          <w:iCs/>
          <w:color w:val="000542"/>
          <w:sz w:val="18"/>
          <w:szCs w:val="18"/>
          <w:lang w:val="el-GR"/>
        </w:rPr>
      </w:pPr>
      <w:r w:rsidRPr="002E3B60">
        <w:rPr>
          <w:rFonts w:ascii="Calibri Light" w:hAnsi="Calibri Light" w:cs="Calibri"/>
          <w:color w:val="000542"/>
          <w:sz w:val="18"/>
          <w:szCs w:val="18"/>
          <w:u w:val="single"/>
          <w:lang w:val="el-GR"/>
        </w:rPr>
        <w:t>ΔΗΛΩΣΗ ΑΠΟΠΟΙΗΣΗΣ ΕΥΘΥΝΗΣ:</w:t>
      </w:r>
      <w:r w:rsidRPr="002E3B60">
        <w:rPr>
          <w:rFonts w:ascii="Calibri Light" w:hAnsi="Calibri Light" w:cs="Calibri"/>
          <w:i/>
          <w:iCs/>
          <w:color w:val="000542"/>
          <w:sz w:val="18"/>
          <w:szCs w:val="18"/>
          <w:lang w:val="el-GR"/>
        </w:rPr>
        <w:t xml:space="preserve"> Η παρούσα έκθεση μπορεί να περιλαμβάνει δηλώσεις για μελλοντικές εκτιμήσεις. Οι δηλώσεις για μελλοντικές εκτιμήσεις αφορούν ή βασίζονται στις τρέχουσες προθέσεις, πεποιθήσεις ή προσδοκίες της διοίκησης της επιχείρησης σχετικά με, μεταξύ άλλων, τα αποτελέσματα των επιχειρηματικών δραστηριοτήτων του Ομίλου ΤΙΤΑΝ στο μέλλον, την οικονομική κατάσταση, τη ρευστότητα, τις προοπτικές, την ανάπτυξη, τις στρατηγικές ή τις εξελίξεις του κλάδου όπου δραστηριοποιούμαστε. Από τη φύση τους, οι δηλώσεις για μελλοντικές εκτιμήσεις υπόκεινται σε κινδύνους, αβεβαιότητες και παραδοχές που μπορεί να καταλήξουν σε πραγματικά αποτελέσματα ή μελλοντικές καταστάσεις που διαφέρουν ουσιωδώς από εκείνες που εκφράζουν ρητά ή άρρητα οι παρούσες δηλώσεις. Οι εν λόγω κίνδυνοι, αβεβαιότητες και παραδοχές ενδέχεται να επηρεάσουν αρνητικά την έκβαση και τις οικονομικές συνέπειες των σχεδίων ή των γεγονότων που περιγράφονται στις δηλώσεις. Οι δηλώσεις για μελλοντικές εκτιμήσεις που περιλαμβάνονται στην παρούσα έκθεση σχετικά με τάσεις ή τρέχουσες δραστηριότητες δεν πρέπει να εκλαμβάνονται ωσάν να επρόκειτο να παραμείνουν ως έχουν στο μέλλον. Δεν αναλαμβάνουμε καμία υποχρέωση να ενημερώσουμε ή να αναθεωρήσουμε καμία δήλωση για μελλοντικές εκτιμήσεις, είτε κατόπιν νέων στοιχείων, είτε βάσει μελλοντικών γεγονότων, είτε για οποιονδήποτε άλλο λόγο. Δεν θα πρέπει κανείς να αποδίδει υπερβάλλουσα αξιοπιστία σε τέτοιες μελλοντικές εκτιμήσεις οι οποίες άλλωστε ισχύουν μόνον κατά την χρονική στιγμή της παρούσας έκθεσης. Τα στοιχεία που περιλαμβάνονται στην παρούσα έκθεση υπόκεινται σε αλλαγές χωρίς προειδοποίηση. Ουδεμία διαβεβαίωση ή εγγύηση παρέχεται, ρητά ή άρρητα, ως προς το δίκαιο χαρακτήρα, την ακρίβεια, το ευλογοφανές ή την πληρότητα των στοιχείων που περιλαμβάνονται εδώ και ουδείς θα έπρεπε να βασίζεται σε αυτά. Στους περισσότερους πίνακες της παρούσας έκθεσης, τα ποσά εκφράζονται σε εκατομμύρια € για λόγους διαφάνειας. Ενδέχεται να υπάρχουν διαφορές με τους πίνακες της συνοπτικής ενημέρωσης λόγω στρογγυλοποίησης των ποσών. Η συνοπτική ενημέρωση καταρτίστηκε στην Αγγλική γλώσσα και μεταφράστηκε στην Ελληνική γλώσσα. Σε περίπτωση διαφοροποιήσεων μεταξύ των δύο κειμένων, υπερισχύει το κείμενο στην Αγγλική εκδοχή. </w:t>
      </w:r>
    </w:p>
    <w:p w14:paraId="5142E621" w14:textId="77777777" w:rsidR="00643366" w:rsidRPr="002E3B60" w:rsidRDefault="00643366" w:rsidP="00643366">
      <w:pPr>
        <w:pStyle w:val="Copy"/>
        <w:jc w:val="both"/>
        <w:rPr>
          <w:rFonts w:cs="Calibri"/>
          <w:b/>
          <w:bCs/>
          <w:sz w:val="22"/>
          <w:szCs w:val="22"/>
          <w:lang w:val="el-GR"/>
        </w:rPr>
      </w:pPr>
      <w:r w:rsidRPr="002E3B60">
        <w:rPr>
          <w:rFonts w:cs="Calibri"/>
          <w:b/>
          <w:bCs/>
          <w:noProof/>
          <w:sz w:val="22"/>
          <w:szCs w:val="22"/>
          <w:lang w:val="en-US"/>
        </w:rPr>
        <mc:AlternateContent>
          <mc:Choice Requires="wps">
            <w:drawing>
              <wp:anchor distT="0" distB="0" distL="114300" distR="114300" simplePos="0" relativeHeight="251658249" behindDoc="0" locked="0" layoutInCell="1" allowOverlap="1" wp14:anchorId="5142E656" wp14:editId="5142E657">
                <wp:simplePos x="0" y="0"/>
                <wp:positionH relativeFrom="margin">
                  <wp:align>center</wp:align>
                </wp:positionH>
                <wp:positionV relativeFrom="paragraph">
                  <wp:posOffset>228600</wp:posOffset>
                </wp:positionV>
                <wp:extent cx="6139180" cy="34925"/>
                <wp:effectExtent l="0" t="0" r="3302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180" cy="34925"/>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21672B7" id="Straight Connector 6" o:spid="_x0000_s1026" style="position:absolute;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pt" to="483.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" strokecolor="#00183d" strokeweight=".25pt">
                <o:lock v:ext="edit" shapetype="f"/>
                <w10:wrap anchorx="margin"/>
              </v:line>
            </w:pict>
          </mc:Fallback>
        </mc:AlternateContent>
      </w:r>
    </w:p>
    <w:p w14:paraId="5142E622" w14:textId="77777777" w:rsidR="00643366" w:rsidRPr="002E3B60" w:rsidRDefault="00643366" w:rsidP="00643366">
      <w:pPr>
        <w:pStyle w:val="Copy"/>
        <w:jc w:val="both"/>
        <w:rPr>
          <w:rFonts w:cs="Calibri"/>
          <w:b/>
          <w:bCs/>
          <w:color w:val="4B7BB1"/>
          <w:sz w:val="24"/>
          <w:szCs w:val="24"/>
          <w:lang w:val="el-GR"/>
        </w:rPr>
      </w:pPr>
      <w:r w:rsidRPr="002E3B60">
        <w:rPr>
          <w:rFonts w:cs="Calibri"/>
          <w:b/>
          <w:bCs/>
          <w:szCs w:val="21"/>
          <w:lang w:val="el-GR"/>
        </w:rPr>
        <w:t xml:space="preserve">Σχετικά με την </w:t>
      </w:r>
      <w:r w:rsidRPr="002E3B60">
        <w:rPr>
          <w:rFonts w:cs="Calibri"/>
          <w:b/>
          <w:bCs/>
          <w:szCs w:val="21"/>
        </w:rPr>
        <w:t>Titan</w:t>
      </w:r>
      <w:r w:rsidRPr="002E3B60">
        <w:rPr>
          <w:rFonts w:cs="Calibri"/>
          <w:b/>
          <w:bCs/>
          <w:szCs w:val="21"/>
          <w:lang w:val="el-GR"/>
        </w:rPr>
        <w:t xml:space="preserve"> </w:t>
      </w:r>
      <w:r w:rsidRPr="002E3B60">
        <w:rPr>
          <w:rFonts w:cs="Calibri"/>
          <w:b/>
          <w:bCs/>
          <w:szCs w:val="21"/>
        </w:rPr>
        <w:t>Cement</w:t>
      </w:r>
      <w:r w:rsidRPr="002E3B60">
        <w:rPr>
          <w:rFonts w:cs="Calibri"/>
          <w:b/>
          <w:bCs/>
          <w:szCs w:val="21"/>
          <w:lang w:val="el-GR"/>
        </w:rPr>
        <w:t xml:space="preserve"> </w:t>
      </w:r>
      <w:r w:rsidRPr="002E3B60">
        <w:rPr>
          <w:rFonts w:cs="Calibri"/>
          <w:b/>
          <w:bCs/>
          <w:szCs w:val="21"/>
        </w:rPr>
        <w:t>International</w:t>
      </w:r>
      <w:r w:rsidRPr="002E3B60">
        <w:rPr>
          <w:rFonts w:cs="Calibri"/>
          <w:b/>
          <w:bCs/>
          <w:szCs w:val="21"/>
          <w:lang w:val="el-GR"/>
        </w:rPr>
        <w:t xml:space="preserve"> </w:t>
      </w:r>
      <w:r w:rsidRPr="002E3B60">
        <w:rPr>
          <w:rFonts w:cs="Calibri"/>
          <w:b/>
          <w:bCs/>
          <w:szCs w:val="21"/>
        </w:rPr>
        <w:t>SA</w:t>
      </w:r>
      <w:r w:rsidRPr="002E3B60">
        <w:rPr>
          <w:rFonts w:cs="Calibri"/>
          <w:b/>
          <w:bCs/>
          <w:szCs w:val="21"/>
          <w:lang w:val="el-GR"/>
        </w:rPr>
        <w:tab/>
      </w:r>
      <w:r w:rsidRPr="002E3B60">
        <w:rPr>
          <w:rFonts w:cs="Calibri"/>
          <w:b/>
          <w:bCs/>
          <w:color w:val="4B7BB1"/>
          <w:sz w:val="24"/>
          <w:szCs w:val="24"/>
          <w:lang w:val="el-GR"/>
        </w:rPr>
        <w:br/>
      </w:r>
      <w:r w:rsidRPr="002E3B60">
        <w:rPr>
          <w:rFonts w:cs="Calibri"/>
          <w:sz w:val="18"/>
          <w:szCs w:val="18"/>
          <w:lang w:val="el-GR"/>
        </w:rPr>
        <w:t>Η Titan Cement International, μητρική εταιρία του Ομίλου ΤΙΤΑΝ, είναι διεθνής παραγωγός τσιμέντου και δομικών υλικών. Οι δραστηριότητές της περιλαμβάνουν την παραγωγή, τη μεταφορά και τη διανομή τσιμέντου, έτοιμου σκυροδέματος, αδρανών υλικών, ιπτάμενης τέφρας, κονιαμάτων και άλλων δομικών υλικών. Ο Όμιλος απασχολεί περίπου 5.500 άτομα και δραστηριοποιείται σε περισσότερες από 15 χώρες, λειτουργώντας εργοστάσια τσιμέντου σε 10 από αυτές: ΗΠΑ, Ελλάδα, Αλβανία, Βουλγαρία, Βόρεια Μακεδονία, Κόσοβο, Σερβία, Αίγυπτο, Τουρκία και Βραζιλία. Καθ’ όλη τη διάρκεια της ιστορίας του, ο Όμιλος ΤΙΤΑΝ λειτούργησε με δέσμευση να υπηρετεί τις θεμελιώδεις ανάγκες της κοινωνίας, συμβάλλοντας ταυτόχρονα στη βιώσιμη ανάπτυξη, με υπευθυνότητα και ακεραιότητα.</w:t>
      </w:r>
    </w:p>
    <w:p w14:paraId="5142E623" w14:textId="77777777" w:rsidR="00CC1A4E" w:rsidRPr="004E4558" w:rsidRDefault="00643366" w:rsidP="004E4558">
      <w:pPr>
        <w:pStyle w:val="Copy"/>
        <w:jc w:val="both"/>
        <w:rPr>
          <w:rFonts w:eastAsia="Times New Roman" w:cs="Calibri"/>
          <w:sz w:val="18"/>
          <w:szCs w:val="18"/>
          <w:lang w:val="el-GR" w:eastAsia="el-GR"/>
        </w:rPr>
      </w:pPr>
      <w:r w:rsidRPr="002E3B60">
        <w:rPr>
          <w:rFonts w:cs="Calibri"/>
          <w:b/>
          <w:bCs/>
          <w:noProof/>
          <w:sz w:val="22"/>
          <w:szCs w:val="22"/>
          <w:lang w:val="en-US"/>
        </w:rPr>
        <mc:AlternateContent>
          <mc:Choice Requires="wps">
            <w:drawing>
              <wp:anchor distT="0" distB="0" distL="114300" distR="114300" simplePos="0" relativeHeight="251658250" behindDoc="0" locked="0" layoutInCell="1" allowOverlap="1" wp14:anchorId="5142E658" wp14:editId="5142E659">
                <wp:simplePos x="0" y="0"/>
                <wp:positionH relativeFrom="column">
                  <wp:posOffset>3175</wp:posOffset>
                </wp:positionH>
                <wp:positionV relativeFrom="paragraph">
                  <wp:posOffset>-635</wp:posOffset>
                </wp:positionV>
                <wp:extent cx="6144260" cy="12065"/>
                <wp:effectExtent l="0" t="0" r="23495" b="298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4260" cy="12065"/>
                        </a:xfrm>
                        <a:prstGeom prst="line">
                          <a:avLst/>
                        </a:prstGeom>
                        <a:ln w="3175">
                          <a:solidFill>
                            <a:srgbClr val="0018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126AAF65" id="Straight Connector 1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05pt" to="48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" strokecolor="#00183d" strokeweight=".25pt">
                <o:lock v:ext="edit" shapetype="f"/>
              </v:line>
            </w:pict>
          </mc:Fallback>
        </mc:AlternateContent>
      </w:r>
    </w:p>
    <w:sectPr w:rsidR="00CC1A4E" w:rsidRPr="004E4558" w:rsidSect="004415BB">
      <w:headerReference w:type="even" r:id="rId22"/>
      <w:headerReference w:type="default" r:id="rId23"/>
      <w:footerReference w:type="even" r:id="rId24"/>
      <w:footerReference w:type="default" r:id="rId25"/>
      <w:pgSz w:w="11906" w:h="16838"/>
      <w:pgMar w:top="2127" w:right="1133" w:bottom="851" w:left="1134" w:header="4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D9BB" w14:textId="77777777" w:rsidR="00617340" w:rsidRDefault="00617340" w:rsidP="002226E5">
      <w:r>
        <w:separator/>
      </w:r>
    </w:p>
  </w:endnote>
  <w:endnote w:type="continuationSeparator" w:id="0">
    <w:p w14:paraId="58879C2B" w14:textId="77777777" w:rsidR="00617340" w:rsidRDefault="00617340" w:rsidP="002226E5">
      <w:r>
        <w:continuationSeparator/>
      </w:r>
    </w:p>
  </w:endnote>
  <w:endnote w:type="continuationNotice" w:id="1">
    <w:p w14:paraId="55A59BFC" w14:textId="77777777" w:rsidR="00617340" w:rsidRDefault="00617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evenim MT">
    <w:charset w:val="B1"/>
    <w:family w:val="auto"/>
    <w:pitch w:val="variable"/>
    <w:sig w:usb0="00000803"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reta Sans Pro Reg">
    <w:altName w:val="Times New Roman"/>
    <w:panose1 w:val="00000000000000000000"/>
    <w:charset w:val="00"/>
    <w:family w:val="modern"/>
    <w:notTrueType/>
    <w:pitch w:val="variable"/>
    <w:sig w:usb0="E00002FF" w:usb1="5001E47B" w:usb2="00000000" w:usb3="00000000" w:csb0="0000019F" w:csb1="00000000"/>
  </w:font>
  <w:font w:name="Times New Roman Greek">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2277642"/>
      <w:docPartObj>
        <w:docPartGallery w:val="Page Numbers (Bottom of Page)"/>
        <w:docPartUnique/>
      </w:docPartObj>
    </w:sdtPr>
    <w:sdtEndPr>
      <w:rPr>
        <w:rStyle w:val="PageNumber"/>
      </w:rPr>
    </w:sdtEndPr>
    <w:sdtContent>
      <w:p w14:paraId="5142E668" w14:textId="77777777" w:rsidR="005B3A1B" w:rsidRDefault="005B3A1B" w:rsidP="00040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2E669" w14:textId="77777777" w:rsidR="005B3A1B" w:rsidRDefault="005B3A1B" w:rsidP="008E3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E66A" w14:textId="620EBCF9" w:rsidR="005B3A1B" w:rsidRPr="0074662F" w:rsidRDefault="005B3A1B" w:rsidP="0074662F">
    <w:pPr>
      <w:pStyle w:val="Header"/>
      <w:spacing w:line="276" w:lineRule="auto"/>
      <w:jc w:val="right"/>
      <w:rPr>
        <w:rStyle w:val="PageNumber"/>
        <w:rFonts w:ascii="Calibri Light" w:hAnsi="Calibri Light" w:cs="Calibri Light"/>
        <w:color w:val="FFFFFF" w:themeColor="background1"/>
        <w:sz w:val="16"/>
        <w:szCs w:val="16"/>
        <w:lang w:val="fr-FR"/>
      </w:rPr>
    </w:pPr>
    <w:r>
      <w:rPr>
        <w:rStyle w:val="PageNumber"/>
        <w:rFonts w:ascii="Calibri Light" w:hAnsi="Calibri Light" w:cs="Calibri Light"/>
        <w:color w:val="FFFFFF" w:themeColor="background1"/>
        <w:sz w:val="16"/>
        <w:szCs w:val="16"/>
        <w:lang w:val="fr-FR"/>
      </w:rPr>
      <w:fldChar w:fldCharType="begin"/>
    </w:r>
    <w:r>
      <w:rPr>
        <w:rStyle w:val="PageNumber"/>
        <w:rFonts w:ascii="Calibri Light" w:hAnsi="Calibri Light" w:cs="Calibri Light"/>
        <w:color w:val="FFFFFF" w:themeColor="background1"/>
        <w:sz w:val="16"/>
        <w:szCs w:val="16"/>
        <w:lang w:val="fr-FR"/>
      </w:rPr>
      <w:instrText xml:space="preserve"> TIME \@ "dd/MM/yyyy HH:mm" </w:instrText>
    </w:r>
    <w:r>
      <w:rPr>
        <w:rStyle w:val="PageNumber"/>
        <w:rFonts w:ascii="Calibri Light" w:hAnsi="Calibri Light" w:cs="Calibri Light"/>
        <w:color w:val="FFFFFF" w:themeColor="background1"/>
        <w:sz w:val="16"/>
        <w:szCs w:val="16"/>
        <w:lang w:val="fr-FR"/>
      </w:rPr>
      <w:fldChar w:fldCharType="separate"/>
    </w:r>
    <w:r w:rsidR="00C50BE5">
      <w:rPr>
        <w:rStyle w:val="PageNumber"/>
        <w:rFonts w:ascii="Calibri Light" w:hAnsi="Calibri Light" w:cs="Calibri Light"/>
        <w:noProof/>
        <w:color w:val="FFFFFF" w:themeColor="background1"/>
        <w:sz w:val="16"/>
        <w:szCs w:val="16"/>
        <w:lang w:val="fr-FR"/>
      </w:rPr>
      <w:t>29/07/2021 12:04</w:t>
    </w:r>
    <w:r>
      <w:rPr>
        <w:rStyle w:val="PageNumber"/>
        <w:rFonts w:ascii="Calibri Light" w:hAnsi="Calibri Light" w:cs="Calibri Light"/>
        <w:color w:val="FFFFFF" w:themeColor="background1"/>
        <w:sz w:val="16"/>
        <w:szCs w:val="16"/>
        <w:lang w:val="fr-FR"/>
      </w:rPr>
      <w:fldChar w:fldCharType="end"/>
    </w:r>
    <w:r>
      <w:rPr>
        <w:rStyle w:val="PageNumber"/>
        <w:rFonts w:ascii="Calibri Light" w:hAnsi="Calibri Light" w:cs="Calibri Light"/>
        <w:color w:val="FFFFFF" w:themeColor="background1"/>
        <w:sz w:val="16"/>
        <w:szCs w:val="16"/>
        <w:lang w:val="fr-FR"/>
      </w:rPr>
      <w:fldChar w:fldCharType="begin"/>
    </w:r>
    <w:r>
      <w:rPr>
        <w:rStyle w:val="PageNumber"/>
        <w:rFonts w:ascii="Calibri Light" w:hAnsi="Calibri Light" w:cs="Calibri Light"/>
        <w:color w:val="FFFFFF" w:themeColor="background1"/>
        <w:sz w:val="16"/>
        <w:szCs w:val="16"/>
      </w:rPr>
      <w:instrText xml:space="preserve"> DATE \@ "dddd, dd MMMM yyyy" </w:instrText>
    </w:r>
    <w:r>
      <w:rPr>
        <w:rStyle w:val="PageNumber"/>
        <w:rFonts w:ascii="Calibri Light" w:hAnsi="Calibri Light" w:cs="Calibri Light"/>
        <w:color w:val="FFFFFF" w:themeColor="background1"/>
        <w:sz w:val="16"/>
        <w:szCs w:val="16"/>
        <w:lang w:val="fr-FR"/>
      </w:rPr>
      <w:fldChar w:fldCharType="separate"/>
    </w:r>
    <w:r w:rsidR="00C50BE5">
      <w:rPr>
        <w:rStyle w:val="PageNumber"/>
        <w:rFonts w:ascii="Calibri Light" w:hAnsi="Calibri Light" w:cs="Calibri Light"/>
        <w:noProof/>
        <w:color w:val="FFFFFF" w:themeColor="background1"/>
        <w:sz w:val="16"/>
        <w:szCs w:val="16"/>
      </w:rPr>
      <w:t>Thursday, 29 July 2021</w:t>
    </w:r>
    <w:r>
      <w:rPr>
        <w:rStyle w:val="PageNumber"/>
        <w:rFonts w:ascii="Calibri Light" w:hAnsi="Calibri Light" w:cs="Calibri Light"/>
        <w:color w:val="FFFFFF" w:themeColor="background1"/>
        <w:sz w:val="16"/>
        <w:szCs w:val="16"/>
        <w:lang w:val="fr-FR"/>
      </w:rPr>
      <w:fldChar w:fldCharType="end"/>
    </w:r>
    <w:r w:rsidRPr="0074662F">
      <w:rPr>
        <w:rStyle w:val="PageNumber"/>
        <w:rFonts w:ascii="Calibri Light" w:hAnsi="Calibri Light" w:cs="Calibri Light"/>
        <w:color w:val="FFFFFF" w:themeColor="background1"/>
        <w:sz w:val="16"/>
        <w:szCs w:val="16"/>
        <w:lang w:val="fr-FR"/>
      </w:rPr>
      <w:t xml:space="preserve">Page </w:t>
    </w:r>
    <w:r w:rsidRPr="00BB3FAE">
      <w:rPr>
        <w:rStyle w:val="PageNumber"/>
        <w:rFonts w:ascii="Calibri Light" w:hAnsi="Calibri Light" w:cs="Calibri Light"/>
        <w:color w:val="FFFFFF" w:themeColor="background1"/>
        <w:sz w:val="16"/>
        <w:szCs w:val="16"/>
      </w:rPr>
      <w:fldChar w:fldCharType="begin"/>
    </w:r>
    <w:r w:rsidRPr="0074662F">
      <w:rPr>
        <w:rStyle w:val="PageNumber"/>
        <w:rFonts w:ascii="Calibri Light" w:hAnsi="Calibri Light" w:cs="Calibri Light"/>
        <w:color w:val="FFFFFF" w:themeColor="background1"/>
        <w:sz w:val="16"/>
        <w:szCs w:val="16"/>
        <w:lang w:val="fr-FR"/>
      </w:rPr>
      <w:instrText xml:space="preserve"> PAGE </w:instrText>
    </w:r>
    <w:r w:rsidRPr="00BB3FAE">
      <w:rPr>
        <w:rStyle w:val="PageNumber"/>
        <w:rFonts w:ascii="Calibri Light" w:hAnsi="Calibri Light" w:cs="Calibri Light"/>
        <w:color w:val="FFFFFF" w:themeColor="background1"/>
        <w:sz w:val="16"/>
        <w:szCs w:val="16"/>
      </w:rPr>
      <w:fldChar w:fldCharType="separate"/>
    </w:r>
    <w:r>
      <w:rPr>
        <w:rStyle w:val="PageNumber"/>
        <w:rFonts w:ascii="Calibri Light" w:hAnsi="Calibri Light" w:cs="Calibri Light"/>
        <w:noProof/>
        <w:color w:val="FFFFFF" w:themeColor="background1"/>
        <w:sz w:val="16"/>
        <w:szCs w:val="16"/>
        <w:lang w:val="fr-FR"/>
      </w:rPr>
      <w:t>5</w:t>
    </w:r>
    <w:r w:rsidRPr="00BB3FAE">
      <w:rPr>
        <w:rStyle w:val="PageNumber"/>
        <w:rFonts w:ascii="Calibri Light" w:hAnsi="Calibri Light" w:cs="Calibri Light"/>
        <w:color w:val="FFFFFF" w:themeColor="background1"/>
        <w:sz w:val="16"/>
        <w:szCs w:val="16"/>
      </w:rPr>
      <w:fldChar w:fldCharType="end"/>
    </w:r>
    <w:r w:rsidRPr="0074662F">
      <w:rPr>
        <w:rStyle w:val="PageNumber"/>
        <w:rFonts w:ascii="Calibri Light" w:hAnsi="Calibri Light" w:cs="Calibri Light"/>
        <w:color w:val="FFFFFF" w:themeColor="background1"/>
        <w:sz w:val="16"/>
        <w:szCs w:val="16"/>
        <w:lang w:val="fr-FR"/>
      </w:rPr>
      <w:t>/</w:t>
    </w:r>
    <w:r w:rsidRPr="00BB3FAE">
      <w:rPr>
        <w:rStyle w:val="PageNumber"/>
        <w:rFonts w:ascii="Calibri Light" w:hAnsi="Calibri Light" w:cs="Calibri Light"/>
        <w:color w:val="FFFFFF" w:themeColor="background1"/>
        <w:sz w:val="16"/>
        <w:szCs w:val="16"/>
      </w:rPr>
      <w:fldChar w:fldCharType="begin"/>
    </w:r>
    <w:r w:rsidRPr="0074662F">
      <w:rPr>
        <w:rStyle w:val="PageNumber"/>
        <w:rFonts w:ascii="Calibri Light" w:hAnsi="Calibri Light" w:cs="Calibri Light"/>
        <w:color w:val="FFFFFF" w:themeColor="background1"/>
        <w:sz w:val="16"/>
        <w:szCs w:val="16"/>
        <w:lang w:val="fr-FR"/>
      </w:rPr>
      <w:instrText xml:space="preserve"> NUMPAGES  \* MERGEFORMAT </w:instrText>
    </w:r>
    <w:r w:rsidRPr="00BB3FAE">
      <w:rPr>
        <w:rStyle w:val="PageNumber"/>
        <w:rFonts w:ascii="Calibri Light" w:hAnsi="Calibri Light" w:cs="Calibri Light"/>
        <w:color w:val="FFFFFF" w:themeColor="background1"/>
        <w:sz w:val="16"/>
        <w:szCs w:val="16"/>
      </w:rPr>
      <w:fldChar w:fldCharType="separate"/>
    </w:r>
    <w:r>
      <w:rPr>
        <w:rStyle w:val="PageNumber"/>
        <w:rFonts w:ascii="Calibri Light" w:hAnsi="Calibri Light" w:cs="Calibri Light"/>
        <w:noProof/>
        <w:color w:val="FFFFFF" w:themeColor="background1"/>
        <w:sz w:val="16"/>
        <w:szCs w:val="16"/>
        <w:lang w:val="fr-FR"/>
      </w:rPr>
      <w:t>12</w:t>
    </w:r>
    <w:r w:rsidRPr="00BB3FAE">
      <w:rPr>
        <w:rStyle w:val="PageNumber"/>
        <w:rFonts w:ascii="Calibri Light" w:hAnsi="Calibri Light" w:cs="Calibri Light"/>
        <w:color w:val="FFFFFF" w:themeColor="background1"/>
        <w:sz w:val="16"/>
        <w:szCs w:val="16"/>
      </w:rPr>
      <w:fldChar w:fldCharType="end"/>
    </w:r>
  </w:p>
  <w:p w14:paraId="5142E66B" w14:textId="0B2AE202" w:rsidR="005B3A1B" w:rsidRPr="00471690" w:rsidRDefault="005B3A1B" w:rsidP="00471690">
    <w:pPr>
      <w:pStyle w:val="C"/>
      <w:jc w:val="right"/>
      <w:rPr>
        <w:sz w:val="16"/>
        <w:szCs w:val="16"/>
        <w:lang w:val="fr-FR"/>
      </w:rPr>
    </w:pPr>
    <w:r>
      <w:rPr>
        <w:rFonts w:ascii="Calibri Light" w:hAnsi="Calibri Light" w:cs="Calibri Light"/>
        <w:b w:val="0"/>
        <w:bCs w:val="0"/>
        <w:sz w:val="16"/>
        <w:szCs w:val="16"/>
        <w:lang w:val="fr-FR"/>
      </w:rPr>
      <w:t xml:space="preserve">   </w:t>
    </w:r>
    <w:r>
      <w:rPr>
        <w:rFonts w:ascii="Calibri Light" w:hAnsi="Calibri Light" w:cs="Calibri Light"/>
        <w:b w:val="0"/>
        <w:bCs w:val="0"/>
        <w:sz w:val="16"/>
        <w:szCs w:val="16"/>
        <w:lang w:val="el-GR"/>
      </w:rPr>
      <w:t>Σελίδα</w:t>
    </w:r>
    <w:r w:rsidRPr="00D30DA7">
      <w:rPr>
        <w:rFonts w:ascii="Calibri Light" w:hAnsi="Calibri Light" w:cs="Calibri Light"/>
        <w:b w:val="0"/>
        <w:bCs w:val="0"/>
        <w:sz w:val="16"/>
        <w:szCs w:val="16"/>
        <w:lang w:val="fr-FR"/>
      </w:rPr>
      <w:t xml:space="preserve"> </w:t>
    </w:r>
    <w:r w:rsidRPr="00D30DA7">
      <w:rPr>
        <w:rFonts w:ascii="Calibri Light" w:hAnsi="Calibri Light" w:cs="Calibri Light"/>
        <w:b w:val="0"/>
        <w:bCs w:val="0"/>
        <w:sz w:val="16"/>
        <w:szCs w:val="16"/>
        <w:lang w:val="en-US"/>
      </w:rPr>
      <w:fldChar w:fldCharType="begin"/>
    </w:r>
    <w:r w:rsidRPr="00D30DA7">
      <w:rPr>
        <w:rFonts w:ascii="Calibri Light" w:hAnsi="Calibri Light" w:cs="Calibri Light"/>
        <w:b w:val="0"/>
        <w:bCs w:val="0"/>
        <w:sz w:val="16"/>
        <w:szCs w:val="16"/>
        <w:lang w:val="fr-FR"/>
      </w:rPr>
      <w:instrText xml:space="preserve"> PAGE  \* MERGEFORMAT </w:instrText>
    </w:r>
    <w:r w:rsidRPr="00D30DA7">
      <w:rPr>
        <w:rFonts w:ascii="Calibri Light" w:hAnsi="Calibri Light" w:cs="Calibri Light"/>
        <w:b w:val="0"/>
        <w:bCs w:val="0"/>
        <w:sz w:val="16"/>
        <w:szCs w:val="16"/>
        <w:lang w:val="en-US"/>
      </w:rPr>
      <w:fldChar w:fldCharType="separate"/>
    </w:r>
    <w:r>
      <w:rPr>
        <w:rFonts w:ascii="Calibri Light" w:hAnsi="Calibri Light" w:cs="Calibri Light"/>
        <w:b w:val="0"/>
        <w:bCs w:val="0"/>
        <w:noProof/>
        <w:sz w:val="16"/>
        <w:szCs w:val="16"/>
        <w:lang w:val="fr-FR"/>
      </w:rPr>
      <w:t>5</w:t>
    </w:r>
    <w:r w:rsidRPr="00D30DA7">
      <w:rPr>
        <w:rFonts w:ascii="Calibri Light" w:hAnsi="Calibri Light" w:cs="Calibri Light"/>
        <w:b w:val="0"/>
        <w:bCs w:val="0"/>
        <w:sz w:val="16"/>
        <w:szCs w:val="16"/>
        <w:lang w:val="en-US"/>
      </w:rPr>
      <w:fldChar w:fldCharType="end"/>
    </w:r>
    <w:r w:rsidRPr="00D30DA7">
      <w:rPr>
        <w:rFonts w:ascii="Calibri Light" w:hAnsi="Calibri Light" w:cs="Calibri Light"/>
        <w:b w:val="0"/>
        <w:bCs w:val="0"/>
        <w:sz w:val="16"/>
        <w:szCs w:val="16"/>
        <w:lang w:val="fr-FR"/>
      </w:rPr>
      <w:t>/</w:t>
    </w:r>
    <w:r w:rsidRPr="00D30DA7">
      <w:rPr>
        <w:rFonts w:ascii="Calibri Light" w:hAnsi="Calibri Light" w:cs="Calibri Light"/>
        <w:b w:val="0"/>
        <w:bCs w:val="0"/>
        <w:sz w:val="16"/>
        <w:szCs w:val="16"/>
        <w:lang w:val="en-US"/>
      </w:rPr>
      <w:fldChar w:fldCharType="begin"/>
    </w:r>
    <w:r w:rsidRPr="00D30DA7">
      <w:rPr>
        <w:rFonts w:ascii="Calibri Light" w:hAnsi="Calibri Light" w:cs="Calibri Light"/>
        <w:b w:val="0"/>
        <w:bCs w:val="0"/>
        <w:sz w:val="16"/>
        <w:szCs w:val="16"/>
        <w:lang w:val="fr-FR"/>
      </w:rPr>
      <w:instrText xml:space="preserve"> NUMPAGES  \* MERGEFORMAT </w:instrText>
    </w:r>
    <w:r w:rsidRPr="00D30DA7">
      <w:rPr>
        <w:rFonts w:ascii="Calibri Light" w:hAnsi="Calibri Light" w:cs="Calibri Light"/>
        <w:b w:val="0"/>
        <w:bCs w:val="0"/>
        <w:sz w:val="16"/>
        <w:szCs w:val="16"/>
        <w:lang w:val="en-US"/>
      </w:rPr>
      <w:fldChar w:fldCharType="separate"/>
    </w:r>
    <w:r>
      <w:rPr>
        <w:rFonts w:ascii="Calibri Light" w:hAnsi="Calibri Light" w:cs="Calibri Light"/>
        <w:b w:val="0"/>
        <w:bCs w:val="0"/>
        <w:noProof/>
        <w:sz w:val="16"/>
        <w:szCs w:val="16"/>
        <w:lang w:val="fr-FR"/>
      </w:rPr>
      <w:t>12</w:t>
    </w:r>
    <w:r w:rsidRPr="00D30DA7">
      <w:rPr>
        <w:rFonts w:ascii="Calibri Light" w:hAnsi="Calibri Light" w:cs="Calibri Light"/>
        <w:b w:val="0"/>
        <w:bCs w:val="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0DCB" w14:textId="77777777" w:rsidR="00617340" w:rsidRDefault="00617340" w:rsidP="002226E5">
      <w:r>
        <w:separator/>
      </w:r>
    </w:p>
  </w:footnote>
  <w:footnote w:type="continuationSeparator" w:id="0">
    <w:p w14:paraId="57F11D07" w14:textId="77777777" w:rsidR="00617340" w:rsidRDefault="00617340" w:rsidP="002226E5">
      <w:r>
        <w:continuationSeparator/>
      </w:r>
    </w:p>
  </w:footnote>
  <w:footnote w:type="continuationNotice" w:id="1">
    <w:p w14:paraId="31161380" w14:textId="77777777" w:rsidR="00617340" w:rsidRDefault="00617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8540061"/>
      <w:docPartObj>
        <w:docPartGallery w:val="Page Numbers (Top of Page)"/>
        <w:docPartUnique/>
      </w:docPartObj>
    </w:sdtPr>
    <w:sdtEndPr>
      <w:rPr>
        <w:rStyle w:val="PageNumber"/>
      </w:rPr>
    </w:sdtEndPr>
    <w:sdtContent>
      <w:p w14:paraId="5142E660" w14:textId="77777777" w:rsidR="005B3A1B" w:rsidRDefault="005B3A1B" w:rsidP="00040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2E661" w14:textId="77777777" w:rsidR="005B3A1B" w:rsidRDefault="005B3A1B" w:rsidP="00AA46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Light" w:hAnsi="Calibri Light" w:cs="Calibri Light"/>
        <w:color w:val="00183D"/>
        <w:sz w:val="32"/>
        <w:szCs w:val="32"/>
      </w:rPr>
      <w:id w:val="1266503990"/>
      <w:docPartObj>
        <w:docPartGallery w:val="Page Numbers (Top of Page)"/>
        <w:docPartUnique/>
      </w:docPartObj>
    </w:sdtPr>
    <w:sdtEndPr>
      <w:rPr>
        <w:rStyle w:val="PageNumber"/>
        <w:color w:val="FFFFFF" w:themeColor="background1"/>
        <w:sz w:val="16"/>
        <w:szCs w:val="16"/>
      </w:rPr>
    </w:sdtEndPr>
    <w:sdtContent>
      <w:sdt>
        <w:sdtPr>
          <w:rPr>
            <w:rStyle w:val="PageNumber"/>
            <w:rFonts w:ascii="Calibri Light" w:hAnsi="Calibri Light" w:cs="Calibri Light"/>
            <w:color w:val="00183D"/>
            <w:sz w:val="32"/>
            <w:szCs w:val="32"/>
          </w:rPr>
          <w:id w:val="-495584396"/>
          <w:docPartObj>
            <w:docPartGallery w:val="Page Numbers (Top of Page)"/>
            <w:docPartUnique/>
          </w:docPartObj>
        </w:sdtPr>
        <w:sdtEndPr>
          <w:rPr>
            <w:rStyle w:val="PageNumber"/>
            <w:color w:val="FFFFFF" w:themeColor="background1"/>
            <w:sz w:val="21"/>
            <w:szCs w:val="21"/>
          </w:rPr>
        </w:sdtEndPr>
        <w:sdtContent>
          <w:p w14:paraId="5142E662" w14:textId="77777777" w:rsidR="005B3A1B" w:rsidRPr="005D78F3" w:rsidRDefault="005B3A1B" w:rsidP="00983A85">
            <w:pPr>
              <w:pStyle w:val="Header"/>
              <w:framePr w:w="3665" w:wrap="none" w:vAnchor="text" w:hAnchor="page" w:x="7104" w:y="193"/>
              <w:spacing w:line="276" w:lineRule="auto"/>
              <w:jc w:val="right"/>
              <w:rPr>
                <w:rStyle w:val="PageNumber"/>
                <w:rFonts w:ascii="Calibri Light" w:hAnsi="Calibri Light" w:cs="Calibri Light"/>
                <w:color w:val="00183D"/>
                <w:sz w:val="32"/>
                <w:szCs w:val="32"/>
                <w:lang w:val="el-GR"/>
              </w:rPr>
            </w:pPr>
            <w:r>
              <w:rPr>
                <w:rStyle w:val="PageNumber"/>
                <w:rFonts w:ascii="Calibri Light" w:hAnsi="Calibri Light" w:cs="Calibri Light"/>
                <w:color w:val="00183D"/>
                <w:sz w:val="32"/>
                <w:szCs w:val="32"/>
                <w:lang w:val="el-GR"/>
              </w:rPr>
              <w:t>Δελτίο τύπου</w:t>
            </w:r>
          </w:p>
          <w:p w14:paraId="5142E663" w14:textId="77777777" w:rsidR="005B3A1B" w:rsidRPr="005D78F3" w:rsidRDefault="005B3A1B" w:rsidP="00983A85">
            <w:pPr>
              <w:pStyle w:val="Header"/>
              <w:framePr w:w="3665" w:wrap="none" w:vAnchor="text" w:hAnchor="page" w:x="7104" w:y="193"/>
              <w:spacing w:line="276" w:lineRule="auto"/>
              <w:jc w:val="right"/>
              <w:rPr>
                <w:rStyle w:val="PageNumber"/>
                <w:rFonts w:ascii="Calibri Light" w:hAnsi="Calibri Light" w:cs="Calibri Light"/>
                <w:color w:val="00183D"/>
                <w:lang w:val="el-GR"/>
              </w:rPr>
            </w:pPr>
            <w:r>
              <w:rPr>
                <w:rStyle w:val="PageNumber"/>
                <w:rFonts w:ascii="Calibri Light" w:hAnsi="Calibri Light" w:cs="Calibri Light"/>
                <w:color w:val="00183D"/>
                <w:sz w:val="21"/>
                <w:szCs w:val="21"/>
                <w:lang w:val="el-GR"/>
              </w:rPr>
              <w:t>Ρυθμιζόμενη Πληροφόρηση</w:t>
            </w:r>
          </w:p>
          <w:p w14:paraId="5142E664" w14:textId="77777777" w:rsidR="005B3A1B" w:rsidRPr="005D78F3" w:rsidRDefault="005B3A1B" w:rsidP="00983A85">
            <w:pPr>
              <w:pStyle w:val="Header"/>
              <w:framePr w:w="3665" w:wrap="none" w:vAnchor="text" w:hAnchor="page" w:x="7104" w:y="193"/>
              <w:spacing w:line="276" w:lineRule="auto"/>
              <w:jc w:val="right"/>
              <w:rPr>
                <w:rStyle w:val="PageNumber"/>
                <w:rFonts w:ascii="Calibri Light" w:hAnsi="Calibri Light" w:cs="Calibri Light"/>
                <w:color w:val="00183D"/>
                <w:lang w:val="el-GR"/>
              </w:rPr>
            </w:pPr>
          </w:p>
          <w:p w14:paraId="5142E665" w14:textId="77777777" w:rsidR="005B3A1B" w:rsidRPr="005D78F3" w:rsidRDefault="005B3A1B" w:rsidP="00983A85">
            <w:pPr>
              <w:pStyle w:val="Header"/>
              <w:framePr w:w="3665" w:wrap="none" w:vAnchor="text" w:hAnchor="page" w:x="7104" w:y="193"/>
              <w:spacing w:line="276" w:lineRule="auto"/>
              <w:jc w:val="right"/>
              <w:rPr>
                <w:rStyle w:val="PageNumber"/>
                <w:rFonts w:ascii="Calibri Light" w:eastAsia="Times New Roman" w:hAnsi="Calibri Light" w:cs="Calibri Light"/>
                <w:color w:val="FFFFFF" w:themeColor="background1"/>
                <w:sz w:val="21"/>
                <w:szCs w:val="21"/>
                <w:lang w:val="el-GR"/>
              </w:rPr>
            </w:pPr>
            <w:r w:rsidRPr="00291657">
              <w:rPr>
                <w:rStyle w:val="PageNumber"/>
                <w:rFonts w:ascii="Calibri Light" w:hAnsi="Calibri Light" w:cs="Calibri Light"/>
                <w:color w:val="00183D"/>
                <w:sz w:val="21"/>
                <w:szCs w:val="21"/>
                <w:lang w:val="el-GR"/>
              </w:rPr>
              <w:t xml:space="preserve">29 </w:t>
            </w:r>
            <w:r>
              <w:rPr>
                <w:rStyle w:val="PageNumber"/>
                <w:rFonts w:ascii="Calibri Light" w:hAnsi="Calibri Light" w:cs="Calibri Light"/>
                <w:color w:val="00183D"/>
                <w:sz w:val="21"/>
                <w:szCs w:val="21"/>
                <w:lang w:val="el-GR"/>
              </w:rPr>
              <w:t>Ιουλίου</w:t>
            </w:r>
            <w:r w:rsidRPr="005D78F3">
              <w:rPr>
                <w:rStyle w:val="PageNumber"/>
                <w:rFonts w:ascii="Calibri Light" w:hAnsi="Calibri Light" w:cs="Calibri Light"/>
                <w:color w:val="00183D"/>
                <w:sz w:val="21"/>
                <w:szCs w:val="21"/>
                <w:lang w:val="el-GR"/>
              </w:rPr>
              <w:t xml:space="preserve"> 202</w:t>
            </w:r>
            <w:r w:rsidRPr="008929CA">
              <w:rPr>
                <w:rStyle w:val="PageNumber"/>
                <w:rFonts w:ascii="Calibri Light" w:hAnsi="Calibri Light" w:cs="Calibri Light"/>
                <w:color w:val="00183D"/>
                <w:sz w:val="21"/>
                <w:szCs w:val="21"/>
                <w:lang w:val="el-GR"/>
              </w:rPr>
              <w:t>1</w:t>
            </w:r>
          </w:p>
        </w:sdtContent>
      </w:sdt>
      <w:p w14:paraId="5142E666" w14:textId="77777777" w:rsidR="005B3A1B" w:rsidRPr="00BB3FAE" w:rsidRDefault="00617340" w:rsidP="00983A85">
        <w:pPr>
          <w:pStyle w:val="Header"/>
          <w:framePr w:w="3665" w:wrap="none" w:vAnchor="text" w:hAnchor="page" w:x="7104" w:y="193"/>
          <w:spacing w:line="276" w:lineRule="auto"/>
          <w:jc w:val="right"/>
          <w:rPr>
            <w:rStyle w:val="PageNumber"/>
            <w:rFonts w:ascii="Calibri Light" w:hAnsi="Calibri Light" w:cs="Calibri Light"/>
            <w:color w:val="FFFFFF" w:themeColor="background1"/>
            <w:sz w:val="16"/>
            <w:szCs w:val="16"/>
          </w:rPr>
        </w:pPr>
      </w:p>
    </w:sdtContent>
  </w:sdt>
  <w:p w14:paraId="5142E667" w14:textId="77777777" w:rsidR="005B3A1B" w:rsidRPr="00AA4625" w:rsidRDefault="005B3A1B" w:rsidP="00094E1D">
    <w:pPr>
      <w:pStyle w:val="Header"/>
      <w:tabs>
        <w:tab w:val="clear" w:pos="4153"/>
        <w:tab w:val="clear" w:pos="8306"/>
        <w:tab w:val="left" w:pos="2053"/>
        <w:tab w:val="left" w:pos="7086"/>
      </w:tabs>
      <w:ind w:left="-737" w:right="288"/>
      <w:jc w:val="both"/>
    </w:pPr>
    <w:r w:rsidRPr="001D043A">
      <w:rPr>
        <w:noProof/>
        <w:lang w:val="en-US"/>
      </w:rPr>
      <w:drawing>
        <wp:anchor distT="0" distB="0" distL="114300" distR="114300" simplePos="0" relativeHeight="251658240" behindDoc="1" locked="0" layoutInCell="1" allowOverlap="1" wp14:anchorId="5142E66C" wp14:editId="5142E66D">
          <wp:simplePos x="0" y="0"/>
          <wp:positionH relativeFrom="column">
            <wp:posOffset>-711464</wp:posOffset>
          </wp:positionH>
          <wp:positionV relativeFrom="paragraph">
            <wp:posOffset>-265059</wp:posOffset>
          </wp:positionV>
          <wp:extent cx="7689323" cy="143198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09240" cy="1435694"/>
                  </a:xfrm>
                  <a:prstGeom prst="rect">
                    <a:avLst/>
                  </a:prstGeom>
                </pic:spPr>
              </pic:pic>
            </a:graphicData>
          </a:graphic>
          <wp14:sizeRelH relativeFrom="page">
            <wp14:pctWidth>0</wp14:pctWidth>
          </wp14:sizeRelH>
          <wp14:sizeRelV relativeFrom="page">
            <wp14:pctHeight>0</wp14:pctHeight>
          </wp14:sizeRelV>
        </wp:anchor>
      </w:drawing>
    </w:r>
    <w:r w:rsidRPr="001D043A">
      <w:t xml:space="preserve"> </w:t>
    </w:r>
    <w:r>
      <w:rPr>
        <w:noProof/>
        <w:lang w:val="en-US"/>
      </w:rPr>
      <w:drawing>
        <wp:inline distT="0" distB="0" distL="0" distR="0" wp14:anchorId="5142E66E" wp14:editId="5142E66F">
          <wp:extent cx="1590262" cy="445273"/>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AN_PL_2C_RGB_450px.png"/>
                  <pic:cNvPicPr/>
                </pic:nvPicPr>
                <pic:blipFill>
                  <a:blip r:embed="rId2">
                    <a:extLst>
                      <a:ext uri="{28A0092B-C50C-407E-A947-70E740481C1C}">
                        <a14:useLocalDpi xmlns:a14="http://schemas.microsoft.com/office/drawing/2010/main" val="0"/>
                      </a:ext>
                    </a:extLst>
                  </a:blip>
                  <a:stretch>
                    <a:fillRect/>
                  </a:stretch>
                </pic:blipFill>
                <pic:spPr>
                  <a:xfrm>
                    <a:off x="0" y="0"/>
                    <a:ext cx="1618142" cy="453079"/>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17B"/>
    <w:multiLevelType w:val="hybridMultilevel"/>
    <w:tmpl w:val="97982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1A2E59"/>
    <w:multiLevelType w:val="hybridMultilevel"/>
    <w:tmpl w:val="72C67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2BD5"/>
    <w:multiLevelType w:val="hybridMultilevel"/>
    <w:tmpl w:val="9EFE03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FD297C"/>
    <w:multiLevelType w:val="hybridMultilevel"/>
    <w:tmpl w:val="A63A7CC6"/>
    <w:lvl w:ilvl="0" w:tplc="EDC419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363BC9"/>
    <w:multiLevelType w:val="hybridMultilevel"/>
    <w:tmpl w:val="962E0C04"/>
    <w:lvl w:ilvl="0" w:tplc="FFFFFFFF">
      <w:start w:val="1"/>
      <w:numFmt w:val="bullet"/>
      <w:pStyle w:val="Copy-bullets"/>
      <w:lvlText w:val=""/>
      <w:lvlJc w:val="left"/>
      <w:pPr>
        <w:ind w:left="288" w:hanging="288"/>
      </w:pPr>
      <w:rPr>
        <w:rFonts w:ascii="Symbol" w:hAnsi="Symbol" w:hint="default"/>
        <w:b w:val="0"/>
        <w:i w:val="0"/>
        <w:sz w:val="16"/>
        <w14:numSpacing w14:val="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1F15"/>
    <w:multiLevelType w:val="hybridMultilevel"/>
    <w:tmpl w:val="63E2487A"/>
    <w:lvl w:ilvl="0" w:tplc="D2E682CC">
      <w:start w:val="1"/>
      <w:numFmt w:val="bullet"/>
      <w:lvlText w:val=""/>
      <w:lvlJc w:val="left"/>
      <w:pPr>
        <w:ind w:left="288" w:hanging="288"/>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930F4"/>
    <w:multiLevelType w:val="hybridMultilevel"/>
    <w:tmpl w:val="90F0E9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126946"/>
    <w:multiLevelType w:val="hybridMultilevel"/>
    <w:tmpl w:val="91DE6634"/>
    <w:lvl w:ilvl="0" w:tplc="328ECFC6">
      <w:start w:val="1"/>
      <w:numFmt w:val="bullet"/>
      <w:lvlText w:val=""/>
      <w:lvlJc w:val="left"/>
      <w:pPr>
        <w:ind w:left="216" w:hanging="216"/>
      </w:pPr>
      <w:rPr>
        <w:rFonts w:ascii="Symbol" w:hAnsi="Symbol" w:hint="default"/>
        <w:b w:val="0"/>
        <w:i w:val="0"/>
        <w:sz w:val="11"/>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A1A49"/>
    <w:multiLevelType w:val="hybridMultilevel"/>
    <w:tmpl w:val="1FBA93DE"/>
    <w:lvl w:ilvl="0" w:tplc="60D68DF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84DC5"/>
    <w:multiLevelType w:val="hybridMultilevel"/>
    <w:tmpl w:val="7DD250BE"/>
    <w:lvl w:ilvl="0" w:tplc="D39EFA6C">
      <w:start w:val="1"/>
      <w:numFmt w:val="bullet"/>
      <w:lvlText w:val=""/>
      <w:lvlJc w:val="left"/>
      <w:pPr>
        <w:ind w:left="216" w:hanging="216"/>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2843"/>
    <w:multiLevelType w:val="multilevel"/>
    <w:tmpl w:val="A1D0405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9B65ABA"/>
    <w:multiLevelType w:val="hybridMultilevel"/>
    <w:tmpl w:val="6B14505A"/>
    <w:lvl w:ilvl="0" w:tplc="4F8C138E">
      <w:start w:val="1"/>
      <w:numFmt w:val="bullet"/>
      <w:lvlText w:val=""/>
      <w:lvlJc w:val="left"/>
      <w:pPr>
        <w:ind w:left="216" w:hanging="216"/>
      </w:pPr>
      <w:rPr>
        <w:rFonts w:ascii="Symbol" w:hAnsi="Symbol" w:hint="default"/>
        <w:b w:val="0"/>
        <w:i w:val="0"/>
        <w:sz w:val="16"/>
        <w14:numSpacing w14:val="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B192E"/>
    <w:multiLevelType w:val="hybridMultilevel"/>
    <w:tmpl w:val="6AB88D90"/>
    <w:lvl w:ilvl="0" w:tplc="4B0426BA">
      <w:start w:val="1"/>
      <w:numFmt w:val="bullet"/>
      <w:lvlText w:val=""/>
      <w:lvlJc w:val="left"/>
      <w:pPr>
        <w:ind w:left="960" w:hanging="360"/>
      </w:pPr>
      <w:rPr>
        <w:rFonts w:ascii="Symbol" w:eastAsia="Symbol" w:hAnsi="Symbol" w:hint="default"/>
        <w:color w:val="0E233D"/>
        <w:sz w:val="24"/>
        <w:szCs w:val="24"/>
      </w:rPr>
    </w:lvl>
    <w:lvl w:ilvl="1" w:tplc="FC5E47B2">
      <w:start w:val="1"/>
      <w:numFmt w:val="bullet"/>
      <w:lvlText w:val="•"/>
      <w:lvlJc w:val="left"/>
      <w:pPr>
        <w:ind w:left="1782" w:hanging="360"/>
      </w:pPr>
    </w:lvl>
    <w:lvl w:ilvl="2" w:tplc="F94A58C8">
      <w:start w:val="1"/>
      <w:numFmt w:val="bullet"/>
      <w:lvlText w:val="•"/>
      <w:lvlJc w:val="left"/>
      <w:pPr>
        <w:ind w:left="2604" w:hanging="360"/>
      </w:pPr>
    </w:lvl>
    <w:lvl w:ilvl="3" w:tplc="4EF203A0">
      <w:start w:val="1"/>
      <w:numFmt w:val="bullet"/>
      <w:lvlText w:val="•"/>
      <w:lvlJc w:val="left"/>
      <w:pPr>
        <w:ind w:left="3426" w:hanging="360"/>
      </w:pPr>
    </w:lvl>
    <w:lvl w:ilvl="4" w:tplc="8EB894FC">
      <w:start w:val="1"/>
      <w:numFmt w:val="bullet"/>
      <w:lvlText w:val="•"/>
      <w:lvlJc w:val="left"/>
      <w:pPr>
        <w:ind w:left="4248" w:hanging="360"/>
      </w:pPr>
    </w:lvl>
    <w:lvl w:ilvl="5" w:tplc="35A2F144">
      <w:start w:val="1"/>
      <w:numFmt w:val="bullet"/>
      <w:lvlText w:val="•"/>
      <w:lvlJc w:val="left"/>
      <w:pPr>
        <w:ind w:left="5070" w:hanging="360"/>
      </w:pPr>
    </w:lvl>
    <w:lvl w:ilvl="6" w:tplc="79DC4A24">
      <w:start w:val="1"/>
      <w:numFmt w:val="bullet"/>
      <w:lvlText w:val="•"/>
      <w:lvlJc w:val="left"/>
      <w:pPr>
        <w:ind w:left="5892" w:hanging="360"/>
      </w:pPr>
    </w:lvl>
    <w:lvl w:ilvl="7" w:tplc="DD64E60E">
      <w:start w:val="1"/>
      <w:numFmt w:val="bullet"/>
      <w:lvlText w:val="•"/>
      <w:lvlJc w:val="left"/>
      <w:pPr>
        <w:ind w:left="6714" w:hanging="360"/>
      </w:pPr>
    </w:lvl>
    <w:lvl w:ilvl="8" w:tplc="39C6DBC8">
      <w:start w:val="1"/>
      <w:numFmt w:val="bullet"/>
      <w:lvlText w:val="•"/>
      <w:lvlJc w:val="left"/>
      <w:pPr>
        <w:ind w:left="7536" w:hanging="360"/>
      </w:pPr>
    </w:lvl>
  </w:abstractNum>
  <w:abstractNum w:abstractNumId="13" w15:restartNumberingAfterBreak="0">
    <w:nsid w:val="63A46673"/>
    <w:multiLevelType w:val="hybridMultilevel"/>
    <w:tmpl w:val="42D2C2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A6570C"/>
    <w:multiLevelType w:val="hybridMultilevel"/>
    <w:tmpl w:val="B8E00C5C"/>
    <w:lvl w:ilvl="0" w:tplc="DCA06C4A">
      <w:start w:val="1"/>
      <w:numFmt w:val="bullet"/>
      <w:lvlText w:val=""/>
      <w:lvlJc w:val="left"/>
      <w:pPr>
        <w:ind w:left="216" w:hanging="216"/>
      </w:pPr>
      <w:rPr>
        <w:rFonts w:ascii="Symbol" w:hAnsi="Symbol" w:hint="default"/>
        <w:b w:val="0"/>
        <w:i w:val="0"/>
        <w:sz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17F66"/>
    <w:multiLevelType w:val="hybridMultilevel"/>
    <w:tmpl w:val="750E2A2A"/>
    <w:lvl w:ilvl="0" w:tplc="20AA8F9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C03B6"/>
    <w:multiLevelType w:val="hybridMultilevel"/>
    <w:tmpl w:val="521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573E32"/>
    <w:multiLevelType w:val="hybridMultilevel"/>
    <w:tmpl w:val="B660F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5"/>
  </w:num>
  <w:num w:numId="4">
    <w:abstractNumId w:val="18"/>
  </w:num>
  <w:num w:numId="5">
    <w:abstractNumId w:val="18"/>
  </w:num>
  <w:num w:numId="6">
    <w:abstractNumId w:val="1"/>
  </w:num>
  <w:num w:numId="7">
    <w:abstractNumId w:val="8"/>
  </w:num>
  <w:num w:numId="8">
    <w:abstractNumId w:val="15"/>
  </w:num>
  <w:num w:numId="9">
    <w:abstractNumId w:val="9"/>
  </w:num>
  <w:num w:numId="10">
    <w:abstractNumId w:val="14"/>
  </w:num>
  <w:num w:numId="11">
    <w:abstractNumId w:val="7"/>
  </w:num>
  <w:num w:numId="12">
    <w:abstractNumId w:val="11"/>
  </w:num>
  <w:num w:numId="13">
    <w:abstractNumId w:val="4"/>
  </w:num>
  <w:num w:numId="14">
    <w:abstractNumId w:val="6"/>
  </w:num>
  <w:num w:numId="15">
    <w:abstractNumId w:val="3"/>
  </w:num>
  <w:num w:numId="16">
    <w:abstractNumId w:val="10"/>
  </w:num>
  <w:num w:numId="17">
    <w:abstractNumId w:val="4"/>
  </w:num>
  <w:num w:numId="18">
    <w:abstractNumId w:val="0"/>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E5"/>
    <w:rsid w:val="00005371"/>
    <w:rsid w:val="00006ADC"/>
    <w:rsid w:val="00006EBC"/>
    <w:rsid w:val="00006F13"/>
    <w:rsid w:val="00007157"/>
    <w:rsid w:val="0000765A"/>
    <w:rsid w:val="000138B1"/>
    <w:rsid w:val="00014CC3"/>
    <w:rsid w:val="00014FB5"/>
    <w:rsid w:val="0001683A"/>
    <w:rsid w:val="0002036A"/>
    <w:rsid w:val="0002091D"/>
    <w:rsid w:val="00022A1D"/>
    <w:rsid w:val="00022E4A"/>
    <w:rsid w:val="00022EFC"/>
    <w:rsid w:val="00023115"/>
    <w:rsid w:val="0002546A"/>
    <w:rsid w:val="000260B6"/>
    <w:rsid w:val="00027129"/>
    <w:rsid w:val="0003222F"/>
    <w:rsid w:val="000329F3"/>
    <w:rsid w:val="000344D3"/>
    <w:rsid w:val="00034864"/>
    <w:rsid w:val="0003545E"/>
    <w:rsid w:val="00035CC3"/>
    <w:rsid w:val="00036065"/>
    <w:rsid w:val="00036083"/>
    <w:rsid w:val="00036DE9"/>
    <w:rsid w:val="0004068A"/>
    <w:rsid w:val="000409FC"/>
    <w:rsid w:val="00040C6B"/>
    <w:rsid w:val="000441EC"/>
    <w:rsid w:val="00044807"/>
    <w:rsid w:val="00050262"/>
    <w:rsid w:val="00053880"/>
    <w:rsid w:val="00056BD0"/>
    <w:rsid w:val="00056E34"/>
    <w:rsid w:val="000613F6"/>
    <w:rsid w:val="0006151B"/>
    <w:rsid w:val="000616DC"/>
    <w:rsid w:val="00061E87"/>
    <w:rsid w:val="00063078"/>
    <w:rsid w:val="00063E51"/>
    <w:rsid w:val="00063F4D"/>
    <w:rsid w:val="00064049"/>
    <w:rsid w:val="0006660D"/>
    <w:rsid w:val="00067700"/>
    <w:rsid w:val="000723A0"/>
    <w:rsid w:val="000744F5"/>
    <w:rsid w:val="00074CC1"/>
    <w:rsid w:val="00076F89"/>
    <w:rsid w:val="00080E42"/>
    <w:rsid w:val="000872D5"/>
    <w:rsid w:val="00093C6C"/>
    <w:rsid w:val="00094E1D"/>
    <w:rsid w:val="000959ED"/>
    <w:rsid w:val="0009652F"/>
    <w:rsid w:val="00096ED6"/>
    <w:rsid w:val="000A378E"/>
    <w:rsid w:val="000A5CC6"/>
    <w:rsid w:val="000A5D57"/>
    <w:rsid w:val="000B1099"/>
    <w:rsid w:val="000B5A27"/>
    <w:rsid w:val="000B6295"/>
    <w:rsid w:val="000B6EC9"/>
    <w:rsid w:val="000C08D9"/>
    <w:rsid w:val="000C1B42"/>
    <w:rsid w:val="000C3943"/>
    <w:rsid w:val="000C5007"/>
    <w:rsid w:val="000C6C78"/>
    <w:rsid w:val="000D0372"/>
    <w:rsid w:val="000D1A1F"/>
    <w:rsid w:val="000D29CF"/>
    <w:rsid w:val="000D2F08"/>
    <w:rsid w:val="000D315B"/>
    <w:rsid w:val="000D3E1F"/>
    <w:rsid w:val="000D5FA8"/>
    <w:rsid w:val="000E0441"/>
    <w:rsid w:val="000E0FE2"/>
    <w:rsid w:val="000E1B2E"/>
    <w:rsid w:val="000E1D42"/>
    <w:rsid w:val="000E2B7B"/>
    <w:rsid w:val="000E5A7F"/>
    <w:rsid w:val="000E76CC"/>
    <w:rsid w:val="000F0E44"/>
    <w:rsid w:val="000F27A7"/>
    <w:rsid w:val="000F282B"/>
    <w:rsid w:val="000F4D34"/>
    <w:rsid w:val="000F54F3"/>
    <w:rsid w:val="000F77BE"/>
    <w:rsid w:val="001028D1"/>
    <w:rsid w:val="00102B4F"/>
    <w:rsid w:val="00106705"/>
    <w:rsid w:val="00106D6C"/>
    <w:rsid w:val="00110EC7"/>
    <w:rsid w:val="0011263B"/>
    <w:rsid w:val="001136E5"/>
    <w:rsid w:val="001139D3"/>
    <w:rsid w:val="00116866"/>
    <w:rsid w:val="001225DE"/>
    <w:rsid w:val="00123026"/>
    <w:rsid w:val="001237EC"/>
    <w:rsid w:val="0012626B"/>
    <w:rsid w:val="00130588"/>
    <w:rsid w:val="001306BB"/>
    <w:rsid w:val="00130741"/>
    <w:rsid w:val="00130785"/>
    <w:rsid w:val="0013117A"/>
    <w:rsid w:val="00131939"/>
    <w:rsid w:val="0013216D"/>
    <w:rsid w:val="001327D5"/>
    <w:rsid w:val="00133532"/>
    <w:rsid w:val="00133CEF"/>
    <w:rsid w:val="00133CFA"/>
    <w:rsid w:val="00134E95"/>
    <w:rsid w:val="001361D0"/>
    <w:rsid w:val="00137335"/>
    <w:rsid w:val="00141AFF"/>
    <w:rsid w:val="00143A23"/>
    <w:rsid w:val="0014447B"/>
    <w:rsid w:val="00145246"/>
    <w:rsid w:val="0014709A"/>
    <w:rsid w:val="001505BC"/>
    <w:rsid w:val="00150B36"/>
    <w:rsid w:val="00150CB6"/>
    <w:rsid w:val="00151BD6"/>
    <w:rsid w:val="00152CD2"/>
    <w:rsid w:val="0015316D"/>
    <w:rsid w:val="00153335"/>
    <w:rsid w:val="001555C0"/>
    <w:rsid w:val="00160C8A"/>
    <w:rsid w:val="00164914"/>
    <w:rsid w:val="00165217"/>
    <w:rsid w:val="00166E90"/>
    <w:rsid w:val="0017105B"/>
    <w:rsid w:val="001764F3"/>
    <w:rsid w:val="0017725C"/>
    <w:rsid w:val="00180173"/>
    <w:rsid w:val="001806CD"/>
    <w:rsid w:val="001814B5"/>
    <w:rsid w:val="00182680"/>
    <w:rsid w:val="001850FD"/>
    <w:rsid w:val="001864D7"/>
    <w:rsid w:val="0018722E"/>
    <w:rsid w:val="001914C6"/>
    <w:rsid w:val="00194428"/>
    <w:rsid w:val="0019558D"/>
    <w:rsid w:val="00196382"/>
    <w:rsid w:val="00197A9B"/>
    <w:rsid w:val="00197EEB"/>
    <w:rsid w:val="001A209F"/>
    <w:rsid w:val="001A7008"/>
    <w:rsid w:val="001B0169"/>
    <w:rsid w:val="001B0A58"/>
    <w:rsid w:val="001B272A"/>
    <w:rsid w:val="001B3F8B"/>
    <w:rsid w:val="001B7147"/>
    <w:rsid w:val="001B7289"/>
    <w:rsid w:val="001C12FF"/>
    <w:rsid w:val="001C1605"/>
    <w:rsid w:val="001C1C2C"/>
    <w:rsid w:val="001C22E8"/>
    <w:rsid w:val="001C297B"/>
    <w:rsid w:val="001C3262"/>
    <w:rsid w:val="001C6E8D"/>
    <w:rsid w:val="001D043A"/>
    <w:rsid w:val="001D0D5F"/>
    <w:rsid w:val="001D1669"/>
    <w:rsid w:val="001D2702"/>
    <w:rsid w:val="001D27F2"/>
    <w:rsid w:val="001D5FAC"/>
    <w:rsid w:val="001D6487"/>
    <w:rsid w:val="001D7301"/>
    <w:rsid w:val="001E3992"/>
    <w:rsid w:val="001E79AE"/>
    <w:rsid w:val="001F16CD"/>
    <w:rsid w:val="001F2ACA"/>
    <w:rsid w:val="001F2BCA"/>
    <w:rsid w:val="001F3B1D"/>
    <w:rsid w:val="00200977"/>
    <w:rsid w:val="00201271"/>
    <w:rsid w:val="00203DDB"/>
    <w:rsid w:val="002046C3"/>
    <w:rsid w:val="00205895"/>
    <w:rsid w:val="00210735"/>
    <w:rsid w:val="00211366"/>
    <w:rsid w:val="0021168E"/>
    <w:rsid w:val="002129A2"/>
    <w:rsid w:val="00212A6D"/>
    <w:rsid w:val="00214105"/>
    <w:rsid w:val="00214F53"/>
    <w:rsid w:val="00215BCF"/>
    <w:rsid w:val="00217491"/>
    <w:rsid w:val="002204C7"/>
    <w:rsid w:val="00220521"/>
    <w:rsid w:val="002219BE"/>
    <w:rsid w:val="002224F2"/>
    <w:rsid w:val="002226E5"/>
    <w:rsid w:val="002238C1"/>
    <w:rsid w:val="0022390B"/>
    <w:rsid w:val="00224325"/>
    <w:rsid w:val="002258FA"/>
    <w:rsid w:val="00225B5C"/>
    <w:rsid w:val="00236E9C"/>
    <w:rsid w:val="00237559"/>
    <w:rsid w:val="0024246C"/>
    <w:rsid w:val="00243666"/>
    <w:rsid w:val="002504A1"/>
    <w:rsid w:val="0025262B"/>
    <w:rsid w:val="00255471"/>
    <w:rsid w:val="00256C22"/>
    <w:rsid w:val="00257176"/>
    <w:rsid w:val="002573A9"/>
    <w:rsid w:val="00257501"/>
    <w:rsid w:val="002618EB"/>
    <w:rsid w:val="00264294"/>
    <w:rsid w:val="00264F4E"/>
    <w:rsid w:val="00267AAB"/>
    <w:rsid w:val="00272D08"/>
    <w:rsid w:val="00275032"/>
    <w:rsid w:val="002769A6"/>
    <w:rsid w:val="00277389"/>
    <w:rsid w:val="00277626"/>
    <w:rsid w:val="00281838"/>
    <w:rsid w:val="002825CB"/>
    <w:rsid w:val="00283789"/>
    <w:rsid w:val="0028383D"/>
    <w:rsid w:val="00283A50"/>
    <w:rsid w:val="002847D0"/>
    <w:rsid w:val="00284934"/>
    <w:rsid w:val="00286AB9"/>
    <w:rsid w:val="00290025"/>
    <w:rsid w:val="0029079A"/>
    <w:rsid w:val="00291657"/>
    <w:rsid w:val="002924F4"/>
    <w:rsid w:val="00292CAC"/>
    <w:rsid w:val="002938F3"/>
    <w:rsid w:val="002945FA"/>
    <w:rsid w:val="002948C0"/>
    <w:rsid w:val="0029533B"/>
    <w:rsid w:val="00295BF8"/>
    <w:rsid w:val="0029752F"/>
    <w:rsid w:val="002A116C"/>
    <w:rsid w:val="002A2FA3"/>
    <w:rsid w:val="002A3266"/>
    <w:rsid w:val="002A33C9"/>
    <w:rsid w:val="002A3CAD"/>
    <w:rsid w:val="002A44EC"/>
    <w:rsid w:val="002A456C"/>
    <w:rsid w:val="002A4C60"/>
    <w:rsid w:val="002A4E92"/>
    <w:rsid w:val="002A6884"/>
    <w:rsid w:val="002A75C0"/>
    <w:rsid w:val="002B0D5D"/>
    <w:rsid w:val="002B1588"/>
    <w:rsid w:val="002B3AAE"/>
    <w:rsid w:val="002B44C0"/>
    <w:rsid w:val="002B48B0"/>
    <w:rsid w:val="002B4EC1"/>
    <w:rsid w:val="002B5715"/>
    <w:rsid w:val="002B5DE3"/>
    <w:rsid w:val="002C09EE"/>
    <w:rsid w:val="002C1D73"/>
    <w:rsid w:val="002C4F10"/>
    <w:rsid w:val="002C5FD8"/>
    <w:rsid w:val="002C6755"/>
    <w:rsid w:val="002C72F6"/>
    <w:rsid w:val="002C742B"/>
    <w:rsid w:val="002C77DD"/>
    <w:rsid w:val="002D0C77"/>
    <w:rsid w:val="002D27BD"/>
    <w:rsid w:val="002D2893"/>
    <w:rsid w:val="002D401A"/>
    <w:rsid w:val="002D4A33"/>
    <w:rsid w:val="002D7041"/>
    <w:rsid w:val="002D7E6A"/>
    <w:rsid w:val="002E0A19"/>
    <w:rsid w:val="002E1F89"/>
    <w:rsid w:val="002F0F87"/>
    <w:rsid w:val="002F1151"/>
    <w:rsid w:val="002F30B8"/>
    <w:rsid w:val="002F3B72"/>
    <w:rsid w:val="002F3D4F"/>
    <w:rsid w:val="002F768D"/>
    <w:rsid w:val="0030025C"/>
    <w:rsid w:val="00301076"/>
    <w:rsid w:val="00303254"/>
    <w:rsid w:val="0030356F"/>
    <w:rsid w:val="00303A41"/>
    <w:rsid w:val="00303BA4"/>
    <w:rsid w:val="00304561"/>
    <w:rsid w:val="003101F2"/>
    <w:rsid w:val="00310C70"/>
    <w:rsid w:val="00312610"/>
    <w:rsid w:val="003131DF"/>
    <w:rsid w:val="00314834"/>
    <w:rsid w:val="0031610D"/>
    <w:rsid w:val="00316D7B"/>
    <w:rsid w:val="00326F62"/>
    <w:rsid w:val="0032728D"/>
    <w:rsid w:val="00330E9C"/>
    <w:rsid w:val="00331A15"/>
    <w:rsid w:val="00331DC7"/>
    <w:rsid w:val="00333BDE"/>
    <w:rsid w:val="003340BB"/>
    <w:rsid w:val="00335DF1"/>
    <w:rsid w:val="00341387"/>
    <w:rsid w:val="003418F3"/>
    <w:rsid w:val="003440B5"/>
    <w:rsid w:val="0034681D"/>
    <w:rsid w:val="00350F7D"/>
    <w:rsid w:val="003523F0"/>
    <w:rsid w:val="00352975"/>
    <w:rsid w:val="00354115"/>
    <w:rsid w:val="0035481D"/>
    <w:rsid w:val="00355A02"/>
    <w:rsid w:val="00355B41"/>
    <w:rsid w:val="00360713"/>
    <w:rsid w:val="00360729"/>
    <w:rsid w:val="00361890"/>
    <w:rsid w:val="00362D64"/>
    <w:rsid w:val="00362F07"/>
    <w:rsid w:val="00363E89"/>
    <w:rsid w:val="00365312"/>
    <w:rsid w:val="003673D2"/>
    <w:rsid w:val="00374591"/>
    <w:rsid w:val="003751E3"/>
    <w:rsid w:val="00382B83"/>
    <w:rsid w:val="00384192"/>
    <w:rsid w:val="003846DB"/>
    <w:rsid w:val="00384720"/>
    <w:rsid w:val="00384961"/>
    <w:rsid w:val="00386C59"/>
    <w:rsid w:val="003878C8"/>
    <w:rsid w:val="003925DB"/>
    <w:rsid w:val="00393AD9"/>
    <w:rsid w:val="003943A6"/>
    <w:rsid w:val="0039501D"/>
    <w:rsid w:val="00395656"/>
    <w:rsid w:val="003A1944"/>
    <w:rsid w:val="003A2661"/>
    <w:rsid w:val="003A329C"/>
    <w:rsid w:val="003A344C"/>
    <w:rsid w:val="003B0724"/>
    <w:rsid w:val="003B08D5"/>
    <w:rsid w:val="003B16C2"/>
    <w:rsid w:val="003B3C0F"/>
    <w:rsid w:val="003B3EDD"/>
    <w:rsid w:val="003B6A8B"/>
    <w:rsid w:val="003B7B1F"/>
    <w:rsid w:val="003C1B86"/>
    <w:rsid w:val="003C276A"/>
    <w:rsid w:val="003C2CBF"/>
    <w:rsid w:val="003C3DC0"/>
    <w:rsid w:val="003C543D"/>
    <w:rsid w:val="003C60BF"/>
    <w:rsid w:val="003C61AC"/>
    <w:rsid w:val="003C781F"/>
    <w:rsid w:val="003D2016"/>
    <w:rsid w:val="003D4742"/>
    <w:rsid w:val="003D5F05"/>
    <w:rsid w:val="003D76F5"/>
    <w:rsid w:val="003E0154"/>
    <w:rsid w:val="003E036C"/>
    <w:rsid w:val="003E0A37"/>
    <w:rsid w:val="003E1342"/>
    <w:rsid w:val="003E2ECA"/>
    <w:rsid w:val="003E6FD7"/>
    <w:rsid w:val="003E7C65"/>
    <w:rsid w:val="003F1AF7"/>
    <w:rsid w:val="0040000B"/>
    <w:rsid w:val="004002D2"/>
    <w:rsid w:val="00401876"/>
    <w:rsid w:val="00404603"/>
    <w:rsid w:val="00406079"/>
    <w:rsid w:val="0040673F"/>
    <w:rsid w:val="00410158"/>
    <w:rsid w:val="00415D30"/>
    <w:rsid w:val="00424885"/>
    <w:rsid w:val="0042526E"/>
    <w:rsid w:val="00427369"/>
    <w:rsid w:val="004302A4"/>
    <w:rsid w:val="00431F74"/>
    <w:rsid w:val="00432A25"/>
    <w:rsid w:val="00433E24"/>
    <w:rsid w:val="00435B6E"/>
    <w:rsid w:val="004415BB"/>
    <w:rsid w:val="00441A81"/>
    <w:rsid w:val="00442684"/>
    <w:rsid w:val="00443E51"/>
    <w:rsid w:val="00443EF9"/>
    <w:rsid w:val="0044527A"/>
    <w:rsid w:val="00445E06"/>
    <w:rsid w:val="00446404"/>
    <w:rsid w:val="00446696"/>
    <w:rsid w:val="00452E54"/>
    <w:rsid w:val="004541AD"/>
    <w:rsid w:val="00454842"/>
    <w:rsid w:val="00455FED"/>
    <w:rsid w:val="00460279"/>
    <w:rsid w:val="004605DC"/>
    <w:rsid w:val="0046206B"/>
    <w:rsid w:val="00462B9B"/>
    <w:rsid w:val="0046312F"/>
    <w:rsid w:val="00463274"/>
    <w:rsid w:val="00463644"/>
    <w:rsid w:val="00465B99"/>
    <w:rsid w:val="004679ED"/>
    <w:rsid w:val="00467EE1"/>
    <w:rsid w:val="0047123A"/>
    <w:rsid w:val="004714EF"/>
    <w:rsid w:val="00471690"/>
    <w:rsid w:val="00472136"/>
    <w:rsid w:val="00472138"/>
    <w:rsid w:val="00472DAC"/>
    <w:rsid w:val="00474A4B"/>
    <w:rsid w:val="0047540C"/>
    <w:rsid w:val="0047607C"/>
    <w:rsid w:val="00476A82"/>
    <w:rsid w:val="004774AB"/>
    <w:rsid w:val="00477529"/>
    <w:rsid w:val="0047760C"/>
    <w:rsid w:val="004780D8"/>
    <w:rsid w:val="00481254"/>
    <w:rsid w:val="00486352"/>
    <w:rsid w:val="004875A1"/>
    <w:rsid w:val="00490188"/>
    <w:rsid w:val="00490CB3"/>
    <w:rsid w:val="004917E1"/>
    <w:rsid w:val="00492371"/>
    <w:rsid w:val="004936AE"/>
    <w:rsid w:val="00493C11"/>
    <w:rsid w:val="00495B69"/>
    <w:rsid w:val="004964D0"/>
    <w:rsid w:val="004971D8"/>
    <w:rsid w:val="004A14F9"/>
    <w:rsid w:val="004A1F6E"/>
    <w:rsid w:val="004A2536"/>
    <w:rsid w:val="004A2E41"/>
    <w:rsid w:val="004A371B"/>
    <w:rsid w:val="004A45B3"/>
    <w:rsid w:val="004A4C9B"/>
    <w:rsid w:val="004A727B"/>
    <w:rsid w:val="004A7B7D"/>
    <w:rsid w:val="004B1BCD"/>
    <w:rsid w:val="004B2CCA"/>
    <w:rsid w:val="004B48D1"/>
    <w:rsid w:val="004B52E0"/>
    <w:rsid w:val="004B5CFF"/>
    <w:rsid w:val="004B67F1"/>
    <w:rsid w:val="004B71C1"/>
    <w:rsid w:val="004B7F9A"/>
    <w:rsid w:val="004C0468"/>
    <w:rsid w:val="004C11A4"/>
    <w:rsid w:val="004C23A2"/>
    <w:rsid w:val="004C48B9"/>
    <w:rsid w:val="004C7F45"/>
    <w:rsid w:val="004D20A8"/>
    <w:rsid w:val="004D44FE"/>
    <w:rsid w:val="004D4DAA"/>
    <w:rsid w:val="004D569C"/>
    <w:rsid w:val="004D66C2"/>
    <w:rsid w:val="004D6734"/>
    <w:rsid w:val="004E39CD"/>
    <w:rsid w:val="004E3A64"/>
    <w:rsid w:val="004E4558"/>
    <w:rsid w:val="004E67CD"/>
    <w:rsid w:val="004F0638"/>
    <w:rsid w:val="004F127A"/>
    <w:rsid w:val="004F4AFC"/>
    <w:rsid w:val="004F5343"/>
    <w:rsid w:val="004F618C"/>
    <w:rsid w:val="004F6588"/>
    <w:rsid w:val="004F6A5A"/>
    <w:rsid w:val="004F7843"/>
    <w:rsid w:val="004F7A39"/>
    <w:rsid w:val="00502791"/>
    <w:rsid w:val="00503E0A"/>
    <w:rsid w:val="00504D58"/>
    <w:rsid w:val="0050612A"/>
    <w:rsid w:val="005069F8"/>
    <w:rsid w:val="00507465"/>
    <w:rsid w:val="00510156"/>
    <w:rsid w:val="00513571"/>
    <w:rsid w:val="00516A96"/>
    <w:rsid w:val="0051771B"/>
    <w:rsid w:val="00517A65"/>
    <w:rsid w:val="00522BF9"/>
    <w:rsid w:val="00523A93"/>
    <w:rsid w:val="0052474D"/>
    <w:rsid w:val="00525F32"/>
    <w:rsid w:val="00526A65"/>
    <w:rsid w:val="00526FEE"/>
    <w:rsid w:val="00532D04"/>
    <w:rsid w:val="00533AC1"/>
    <w:rsid w:val="00533DB5"/>
    <w:rsid w:val="0053525B"/>
    <w:rsid w:val="0053707D"/>
    <w:rsid w:val="0053742A"/>
    <w:rsid w:val="0054271B"/>
    <w:rsid w:val="0054295A"/>
    <w:rsid w:val="005446D4"/>
    <w:rsid w:val="005452C9"/>
    <w:rsid w:val="0054663F"/>
    <w:rsid w:val="00547DB6"/>
    <w:rsid w:val="00550C68"/>
    <w:rsid w:val="00550F4F"/>
    <w:rsid w:val="00553EDE"/>
    <w:rsid w:val="0055439B"/>
    <w:rsid w:val="00556BA4"/>
    <w:rsid w:val="00556F1B"/>
    <w:rsid w:val="005631E2"/>
    <w:rsid w:val="00563258"/>
    <w:rsid w:val="00564325"/>
    <w:rsid w:val="00565591"/>
    <w:rsid w:val="005678EE"/>
    <w:rsid w:val="005708B7"/>
    <w:rsid w:val="0057377D"/>
    <w:rsid w:val="00573D54"/>
    <w:rsid w:val="00574749"/>
    <w:rsid w:val="005748A6"/>
    <w:rsid w:val="0057705A"/>
    <w:rsid w:val="00577362"/>
    <w:rsid w:val="00580D1B"/>
    <w:rsid w:val="005811C3"/>
    <w:rsid w:val="0058245A"/>
    <w:rsid w:val="00584205"/>
    <w:rsid w:val="00584553"/>
    <w:rsid w:val="0058553B"/>
    <w:rsid w:val="00593F10"/>
    <w:rsid w:val="00594EED"/>
    <w:rsid w:val="00595E5D"/>
    <w:rsid w:val="00597622"/>
    <w:rsid w:val="005A153C"/>
    <w:rsid w:val="005A18C6"/>
    <w:rsid w:val="005A50C9"/>
    <w:rsid w:val="005A5E31"/>
    <w:rsid w:val="005A7C1E"/>
    <w:rsid w:val="005B1F6E"/>
    <w:rsid w:val="005B3A1B"/>
    <w:rsid w:val="005B499D"/>
    <w:rsid w:val="005B74EE"/>
    <w:rsid w:val="005C3C30"/>
    <w:rsid w:val="005C51E7"/>
    <w:rsid w:val="005C69E9"/>
    <w:rsid w:val="005D0320"/>
    <w:rsid w:val="005D0A11"/>
    <w:rsid w:val="005D2B15"/>
    <w:rsid w:val="005D3FF1"/>
    <w:rsid w:val="005D5543"/>
    <w:rsid w:val="005D78F3"/>
    <w:rsid w:val="005E0739"/>
    <w:rsid w:val="005E3C32"/>
    <w:rsid w:val="005E4EFC"/>
    <w:rsid w:val="005E698A"/>
    <w:rsid w:val="005F0181"/>
    <w:rsid w:val="005F03AF"/>
    <w:rsid w:val="005F056C"/>
    <w:rsid w:val="005F0650"/>
    <w:rsid w:val="005F2C9B"/>
    <w:rsid w:val="005F50F6"/>
    <w:rsid w:val="005F5128"/>
    <w:rsid w:val="005F65A7"/>
    <w:rsid w:val="005F775D"/>
    <w:rsid w:val="00600291"/>
    <w:rsid w:val="006005FA"/>
    <w:rsid w:val="006016B3"/>
    <w:rsid w:val="00603921"/>
    <w:rsid w:val="006047ED"/>
    <w:rsid w:val="00604C4D"/>
    <w:rsid w:val="00605281"/>
    <w:rsid w:val="006102A8"/>
    <w:rsid w:val="006116E7"/>
    <w:rsid w:val="006117E5"/>
    <w:rsid w:val="006136F2"/>
    <w:rsid w:val="00615248"/>
    <w:rsid w:val="00616C9A"/>
    <w:rsid w:val="00617340"/>
    <w:rsid w:val="0062048C"/>
    <w:rsid w:val="00621C7D"/>
    <w:rsid w:val="00622789"/>
    <w:rsid w:val="00625308"/>
    <w:rsid w:val="00625312"/>
    <w:rsid w:val="00625362"/>
    <w:rsid w:val="00626507"/>
    <w:rsid w:val="0063083A"/>
    <w:rsid w:val="00631428"/>
    <w:rsid w:val="00631509"/>
    <w:rsid w:val="006352C0"/>
    <w:rsid w:val="006365BD"/>
    <w:rsid w:val="00640CBB"/>
    <w:rsid w:val="0064100A"/>
    <w:rsid w:val="00641747"/>
    <w:rsid w:val="00642EC2"/>
    <w:rsid w:val="00643366"/>
    <w:rsid w:val="006452D1"/>
    <w:rsid w:val="006466E3"/>
    <w:rsid w:val="00647241"/>
    <w:rsid w:val="006478CE"/>
    <w:rsid w:val="006504AA"/>
    <w:rsid w:val="006538E8"/>
    <w:rsid w:val="00654631"/>
    <w:rsid w:val="0065642F"/>
    <w:rsid w:val="00660151"/>
    <w:rsid w:val="006613FB"/>
    <w:rsid w:val="006623D7"/>
    <w:rsid w:val="00663A3D"/>
    <w:rsid w:val="00665C5F"/>
    <w:rsid w:val="006716A6"/>
    <w:rsid w:val="0067273F"/>
    <w:rsid w:val="00672A70"/>
    <w:rsid w:val="00673192"/>
    <w:rsid w:val="0067453B"/>
    <w:rsid w:val="006752B7"/>
    <w:rsid w:val="00676D15"/>
    <w:rsid w:val="00676DF2"/>
    <w:rsid w:val="00677549"/>
    <w:rsid w:val="006813E1"/>
    <w:rsid w:val="00685CD6"/>
    <w:rsid w:val="00687206"/>
    <w:rsid w:val="0068741E"/>
    <w:rsid w:val="0069289D"/>
    <w:rsid w:val="00693B13"/>
    <w:rsid w:val="00694E20"/>
    <w:rsid w:val="006967C1"/>
    <w:rsid w:val="006A3A17"/>
    <w:rsid w:val="006A53D5"/>
    <w:rsid w:val="006A644A"/>
    <w:rsid w:val="006A76E4"/>
    <w:rsid w:val="006B162C"/>
    <w:rsid w:val="006B21F4"/>
    <w:rsid w:val="006B3AF5"/>
    <w:rsid w:val="006B5A68"/>
    <w:rsid w:val="006B5BC5"/>
    <w:rsid w:val="006B6CBE"/>
    <w:rsid w:val="006B71D6"/>
    <w:rsid w:val="006B75CB"/>
    <w:rsid w:val="006C20C8"/>
    <w:rsid w:val="006C2E29"/>
    <w:rsid w:val="006C3312"/>
    <w:rsid w:val="006C38B9"/>
    <w:rsid w:val="006C6854"/>
    <w:rsid w:val="006D0180"/>
    <w:rsid w:val="006D022E"/>
    <w:rsid w:val="006D23C1"/>
    <w:rsid w:val="006D2DD4"/>
    <w:rsid w:val="006D4C1F"/>
    <w:rsid w:val="006D66BD"/>
    <w:rsid w:val="006E14DE"/>
    <w:rsid w:val="006E1982"/>
    <w:rsid w:val="006E579B"/>
    <w:rsid w:val="006E74AB"/>
    <w:rsid w:val="006F15C7"/>
    <w:rsid w:val="006F1755"/>
    <w:rsid w:val="006F28E8"/>
    <w:rsid w:val="006F40F2"/>
    <w:rsid w:val="006F4AA3"/>
    <w:rsid w:val="006F4DE8"/>
    <w:rsid w:val="006F5B51"/>
    <w:rsid w:val="006F6C62"/>
    <w:rsid w:val="00700D4D"/>
    <w:rsid w:val="00700E53"/>
    <w:rsid w:val="00701D1A"/>
    <w:rsid w:val="0070283D"/>
    <w:rsid w:val="007050D2"/>
    <w:rsid w:val="007051CC"/>
    <w:rsid w:val="00705838"/>
    <w:rsid w:val="00706032"/>
    <w:rsid w:val="0070694B"/>
    <w:rsid w:val="00706DCA"/>
    <w:rsid w:val="00707A87"/>
    <w:rsid w:val="0071197D"/>
    <w:rsid w:val="00712A54"/>
    <w:rsid w:val="0071380F"/>
    <w:rsid w:val="00713FA4"/>
    <w:rsid w:val="0071421D"/>
    <w:rsid w:val="007151F8"/>
    <w:rsid w:val="00715254"/>
    <w:rsid w:val="0071556C"/>
    <w:rsid w:val="00715C8F"/>
    <w:rsid w:val="00716C70"/>
    <w:rsid w:val="00717232"/>
    <w:rsid w:val="007177FF"/>
    <w:rsid w:val="00717D4C"/>
    <w:rsid w:val="00722328"/>
    <w:rsid w:val="00723AA5"/>
    <w:rsid w:val="007244BA"/>
    <w:rsid w:val="00724F6A"/>
    <w:rsid w:val="00730F6B"/>
    <w:rsid w:val="00731286"/>
    <w:rsid w:val="00731B91"/>
    <w:rsid w:val="00732E11"/>
    <w:rsid w:val="007348F7"/>
    <w:rsid w:val="00734E96"/>
    <w:rsid w:val="00736BB8"/>
    <w:rsid w:val="00736C48"/>
    <w:rsid w:val="00740161"/>
    <w:rsid w:val="0074033C"/>
    <w:rsid w:val="00740617"/>
    <w:rsid w:val="0074077E"/>
    <w:rsid w:val="00742766"/>
    <w:rsid w:val="0074662F"/>
    <w:rsid w:val="00746C3C"/>
    <w:rsid w:val="00746EA9"/>
    <w:rsid w:val="00746FDA"/>
    <w:rsid w:val="00752576"/>
    <w:rsid w:val="00752BA2"/>
    <w:rsid w:val="0076023B"/>
    <w:rsid w:val="00762E58"/>
    <w:rsid w:val="007645B5"/>
    <w:rsid w:val="00771394"/>
    <w:rsid w:val="00771757"/>
    <w:rsid w:val="00773BF9"/>
    <w:rsid w:val="00773DE5"/>
    <w:rsid w:val="007762EA"/>
    <w:rsid w:val="007769C7"/>
    <w:rsid w:val="00777599"/>
    <w:rsid w:val="0078023C"/>
    <w:rsid w:val="00785BF2"/>
    <w:rsid w:val="00787C02"/>
    <w:rsid w:val="00787E62"/>
    <w:rsid w:val="00791EF8"/>
    <w:rsid w:val="0079273C"/>
    <w:rsid w:val="00792DAF"/>
    <w:rsid w:val="007939D0"/>
    <w:rsid w:val="00794FE4"/>
    <w:rsid w:val="00796FE1"/>
    <w:rsid w:val="00797545"/>
    <w:rsid w:val="00797E86"/>
    <w:rsid w:val="007A06E5"/>
    <w:rsid w:val="007A5964"/>
    <w:rsid w:val="007A5A72"/>
    <w:rsid w:val="007A60B4"/>
    <w:rsid w:val="007A72A5"/>
    <w:rsid w:val="007B0FAE"/>
    <w:rsid w:val="007B6094"/>
    <w:rsid w:val="007B68EE"/>
    <w:rsid w:val="007C0DD7"/>
    <w:rsid w:val="007C7D74"/>
    <w:rsid w:val="007D1CCC"/>
    <w:rsid w:val="007D40D3"/>
    <w:rsid w:val="007D63C1"/>
    <w:rsid w:val="007E128E"/>
    <w:rsid w:val="007E1BF0"/>
    <w:rsid w:val="007E289B"/>
    <w:rsid w:val="007E39CD"/>
    <w:rsid w:val="007E4592"/>
    <w:rsid w:val="007E4802"/>
    <w:rsid w:val="007E54E3"/>
    <w:rsid w:val="007E67F1"/>
    <w:rsid w:val="007E6D7D"/>
    <w:rsid w:val="007F03B8"/>
    <w:rsid w:val="007F1E68"/>
    <w:rsid w:val="007F2B94"/>
    <w:rsid w:val="007F2F81"/>
    <w:rsid w:val="007F39F4"/>
    <w:rsid w:val="007F3A84"/>
    <w:rsid w:val="007F51C6"/>
    <w:rsid w:val="007F5E02"/>
    <w:rsid w:val="007F5EDE"/>
    <w:rsid w:val="007F7DC0"/>
    <w:rsid w:val="008015FD"/>
    <w:rsid w:val="008021F7"/>
    <w:rsid w:val="00803224"/>
    <w:rsid w:val="00804E96"/>
    <w:rsid w:val="008069C2"/>
    <w:rsid w:val="00807071"/>
    <w:rsid w:val="008071FB"/>
    <w:rsid w:val="008072E2"/>
    <w:rsid w:val="008124C1"/>
    <w:rsid w:val="00812F77"/>
    <w:rsid w:val="00813578"/>
    <w:rsid w:val="0081522A"/>
    <w:rsid w:val="008155C3"/>
    <w:rsid w:val="00816CD6"/>
    <w:rsid w:val="00817876"/>
    <w:rsid w:val="00820440"/>
    <w:rsid w:val="00823E36"/>
    <w:rsid w:val="00824031"/>
    <w:rsid w:val="00826594"/>
    <w:rsid w:val="008266D0"/>
    <w:rsid w:val="00831861"/>
    <w:rsid w:val="0083298A"/>
    <w:rsid w:val="00832B63"/>
    <w:rsid w:val="00833926"/>
    <w:rsid w:val="0083652F"/>
    <w:rsid w:val="0084020D"/>
    <w:rsid w:val="00840BD0"/>
    <w:rsid w:val="00841201"/>
    <w:rsid w:val="00843600"/>
    <w:rsid w:val="008436F1"/>
    <w:rsid w:val="0084382B"/>
    <w:rsid w:val="00845917"/>
    <w:rsid w:val="00846BEA"/>
    <w:rsid w:val="00847716"/>
    <w:rsid w:val="00847F87"/>
    <w:rsid w:val="00850D10"/>
    <w:rsid w:val="00862C21"/>
    <w:rsid w:val="0086362F"/>
    <w:rsid w:val="008658A5"/>
    <w:rsid w:val="00867C99"/>
    <w:rsid w:val="00871F52"/>
    <w:rsid w:val="00873D24"/>
    <w:rsid w:val="008752B5"/>
    <w:rsid w:val="008778AE"/>
    <w:rsid w:val="00881CBD"/>
    <w:rsid w:val="008824DC"/>
    <w:rsid w:val="00882B4A"/>
    <w:rsid w:val="00883B79"/>
    <w:rsid w:val="00884725"/>
    <w:rsid w:val="0088631C"/>
    <w:rsid w:val="00886419"/>
    <w:rsid w:val="00886626"/>
    <w:rsid w:val="0089022D"/>
    <w:rsid w:val="008913D3"/>
    <w:rsid w:val="008929CA"/>
    <w:rsid w:val="00896B2B"/>
    <w:rsid w:val="00896D44"/>
    <w:rsid w:val="00896D59"/>
    <w:rsid w:val="008A1ACC"/>
    <w:rsid w:val="008A3A3C"/>
    <w:rsid w:val="008A4112"/>
    <w:rsid w:val="008A4B08"/>
    <w:rsid w:val="008A5B1D"/>
    <w:rsid w:val="008A5BED"/>
    <w:rsid w:val="008A69CB"/>
    <w:rsid w:val="008B0D86"/>
    <w:rsid w:val="008B1B3E"/>
    <w:rsid w:val="008B2867"/>
    <w:rsid w:val="008B3A63"/>
    <w:rsid w:val="008B4127"/>
    <w:rsid w:val="008B4150"/>
    <w:rsid w:val="008B5C41"/>
    <w:rsid w:val="008B5EC6"/>
    <w:rsid w:val="008B6DD5"/>
    <w:rsid w:val="008C0243"/>
    <w:rsid w:val="008C2021"/>
    <w:rsid w:val="008C2B36"/>
    <w:rsid w:val="008C5341"/>
    <w:rsid w:val="008C624A"/>
    <w:rsid w:val="008D059A"/>
    <w:rsid w:val="008D10A3"/>
    <w:rsid w:val="008D1AD9"/>
    <w:rsid w:val="008D2C16"/>
    <w:rsid w:val="008D5122"/>
    <w:rsid w:val="008E1ECD"/>
    <w:rsid w:val="008E3D4A"/>
    <w:rsid w:val="008E54A6"/>
    <w:rsid w:val="008F07F7"/>
    <w:rsid w:val="008F0A16"/>
    <w:rsid w:val="008F37E2"/>
    <w:rsid w:val="008F5A5F"/>
    <w:rsid w:val="008F5D99"/>
    <w:rsid w:val="008F7DAA"/>
    <w:rsid w:val="009000D8"/>
    <w:rsid w:val="009001A3"/>
    <w:rsid w:val="009007AE"/>
    <w:rsid w:val="00901A5D"/>
    <w:rsid w:val="00901E12"/>
    <w:rsid w:val="00902B04"/>
    <w:rsid w:val="00903110"/>
    <w:rsid w:val="00903D01"/>
    <w:rsid w:val="00904D9F"/>
    <w:rsid w:val="00904E48"/>
    <w:rsid w:val="00905E9B"/>
    <w:rsid w:val="00906CEB"/>
    <w:rsid w:val="00907549"/>
    <w:rsid w:val="0090770D"/>
    <w:rsid w:val="00912DA7"/>
    <w:rsid w:val="00913265"/>
    <w:rsid w:val="0091466D"/>
    <w:rsid w:val="00914B65"/>
    <w:rsid w:val="009157D8"/>
    <w:rsid w:val="009161E1"/>
    <w:rsid w:val="00917144"/>
    <w:rsid w:val="009173D0"/>
    <w:rsid w:val="00923F4A"/>
    <w:rsid w:val="00925107"/>
    <w:rsid w:val="00925397"/>
    <w:rsid w:val="0092567F"/>
    <w:rsid w:val="00926C2C"/>
    <w:rsid w:val="00926C73"/>
    <w:rsid w:val="00927DFF"/>
    <w:rsid w:val="00927E5A"/>
    <w:rsid w:val="009314C8"/>
    <w:rsid w:val="00932BBF"/>
    <w:rsid w:val="00932FC4"/>
    <w:rsid w:val="00933383"/>
    <w:rsid w:val="00936781"/>
    <w:rsid w:val="00940557"/>
    <w:rsid w:val="009433B2"/>
    <w:rsid w:val="00943A0F"/>
    <w:rsid w:val="00944436"/>
    <w:rsid w:val="00944636"/>
    <w:rsid w:val="00944AAB"/>
    <w:rsid w:val="00944B60"/>
    <w:rsid w:val="00944E65"/>
    <w:rsid w:val="00950109"/>
    <w:rsid w:val="0095083F"/>
    <w:rsid w:val="00954071"/>
    <w:rsid w:val="00955143"/>
    <w:rsid w:val="00956A5F"/>
    <w:rsid w:val="009602E9"/>
    <w:rsid w:val="009617A4"/>
    <w:rsid w:val="00967AFD"/>
    <w:rsid w:val="0097135A"/>
    <w:rsid w:val="00972F0C"/>
    <w:rsid w:val="009750E3"/>
    <w:rsid w:val="0097551C"/>
    <w:rsid w:val="00976D2D"/>
    <w:rsid w:val="00977389"/>
    <w:rsid w:val="0098047A"/>
    <w:rsid w:val="00980A30"/>
    <w:rsid w:val="00982179"/>
    <w:rsid w:val="0098253B"/>
    <w:rsid w:val="00983A85"/>
    <w:rsid w:val="0098602E"/>
    <w:rsid w:val="00986406"/>
    <w:rsid w:val="009869A9"/>
    <w:rsid w:val="00987C29"/>
    <w:rsid w:val="00991EC3"/>
    <w:rsid w:val="009920EC"/>
    <w:rsid w:val="00995F2A"/>
    <w:rsid w:val="009975DD"/>
    <w:rsid w:val="009A1964"/>
    <w:rsid w:val="009A2661"/>
    <w:rsid w:val="009A2EB7"/>
    <w:rsid w:val="009A3584"/>
    <w:rsid w:val="009A4169"/>
    <w:rsid w:val="009A5E41"/>
    <w:rsid w:val="009A5E9B"/>
    <w:rsid w:val="009A660A"/>
    <w:rsid w:val="009A7239"/>
    <w:rsid w:val="009B0508"/>
    <w:rsid w:val="009B3529"/>
    <w:rsid w:val="009B5F03"/>
    <w:rsid w:val="009B75A0"/>
    <w:rsid w:val="009C331F"/>
    <w:rsid w:val="009C3811"/>
    <w:rsid w:val="009C4942"/>
    <w:rsid w:val="009C632F"/>
    <w:rsid w:val="009C76C9"/>
    <w:rsid w:val="009D15EA"/>
    <w:rsid w:val="009E1BA2"/>
    <w:rsid w:val="009E2FDA"/>
    <w:rsid w:val="009E3649"/>
    <w:rsid w:val="009E4DA6"/>
    <w:rsid w:val="009F00E3"/>
    <w:rsid w:val="009F1FC1"/>
    <w:rsid w:val="009F7E43"/>
    <w:rsid w:val="00A004E1"/>
    <w:rsid w:val="00A00DA0"/>
    <w:rsid w:val="00A02F36"/>
    <w:rsid w:val="00A037EC"/>
    <w:rsid w:val="00A04261"/>
    <w:rsid w:val="00A0724A"/>
    <w:rsid w:val="00A12AC7"/>
    <w:rsid w:val="00A14800"/>
    <w:rsid w:val="00A15A81"/>
    <w:rsid w:val="00A1775E"/>
    <w:rsid w:val="00A17874"/>
    <w:rsid w:val="00A17A39"/>
    <w:rsid w:val="00A205E6"/>
    <w:rsid w:val="00A2299C"/>
    <w:rsid w:val="00A23F63"/>
    <w:rsid w:val="00A242A6"/>
    <w:rsid w:val="00A250E3"/>
    <w:rsid w:val="00A25A3D"/>
    <w:rsid w:val="00A27EF5"/>
    <w:rsid w:val="00A302B7"/>
    <w:rsid w:val="00A3335B"/>
    <w:rsid w:val="00A342F8"/>
    <w:rsid w:val="00A349E7"/>
    <w:rsid w:val="00A35A69"/>
    <w:rsid w:val="00A370DF"/>
    <w:rsid w:val="00A3EF05"/>
    <w:rsid w:val="00A40E51"/>
    <w:rsid w:val="00A43194"/>
    <w:rsid w:val="00A43CCF"/>
    <w:rsid w:val="00A44D11"/>
    <w:rsid w:val="00A44FE6"/>
    <w:rsid w:val="00A45320"/>
    <w:rsid w:val="00A458D6"/>
    <w:rsid w:val="00A45925"/>
    <w:rsid w:val="00A46448"/>
    <w:rsid w:val="00A47D96"/>
    <w:rsid w:val="00A50AB5"/>
    <w:rsid w:val="00A52C11"/>
    <w:rsid w:val="00A53E5B"/>
    <w:rsid w:val="00A57B20"/>
    <w:rsid w:val="00A603F2"/>
    <w:rsid w:val="00A6169B"/>
    <w:rsid w:val="00A619CF"/>
    <w:rsid w:val="00A62449"/>
    <w:rsid w:val="00A62A5F"/>
    <w:rsid w:val="00A62C00"/>
    <w:rsid w:val="00A63882"/>
    <w:rsid w:val="00A6439A"/>
    <w:rsid w:val="00A64D13"/>
    <w:rsid w:val="00A64DFA"/>
    <w:rsid w:val="00A6749C"/>
    <w:rsid w:val="00A765DA"/>
    <w:rsid w:val="00A773CA"/>
    <w:rsid w:val="00A77CEC"/>
    <w:rsid w:val="00A83A4C"/>
    <w:rsid w:val="00A84AE3"/>
    <w:rsid w:val="00A852D3"/>
    <w:rsid w:val="00A8627D"/>
    <w:rsid w:val="00A86E0D"/>
    <w:rsid w:val="00A8748F"/>
    <w:rsid w:val="00A90173"/>
    <w:rsid w:val="00A905E2"/>
    <w:rsid w:val="00A9082D"/>
    <w:rsid w:val="00A92658"/>
    <w:rsid w:val="00A93763"/>
    <w:rsid w:val="00A954D1"/>
    <w:rsid w:val="00A9674F"/>
    <w:rsid w:val="00A972EF"/>
    <w:rsid w:val="00AA19A0"/>
    <w:rsid w:val="00AA20AB"/>
    <w:rsid w:val="00AA22C2"/>
    <w:rsid w:val="00AA238E"/>
    <w:rsid w:val="00AA240A"/>
    <w:rsid w:val="00AA25E7"/>
    <w:rsid w:val="00AA37EA"/>
    <w:rsid w:val="00AA45C2"/>
    <w:rsid w:val="00AA4625"/>
    <w:rsid w:val="00AA5157"/>
    <w:rsid w:val="00AA6533"/>
    <w:rsid w:val="00AA6CE8"/>
    <w:rsid w:val="00AB00C5"/>
    <w:rsid w:val="00AB0160"/>
    <w:rsid w:val="00AB0C45"/>
    <w:rsid w:val="00AB0F87"/>
    <w:rsid w:val="00AB2015"/>
    <w:rsid w:val="00AB26B5"/>
    <w:rsid w:val="00AB2ED6"/>
    <w:rsid w:val="00AB374C"/>
    <w:rsid w:val="00AB42E0"/>
    <w:rsid w:val="00AB5A70"/>
    <w:rsid w:val="00AB5E12"/>
    <w:rsid w:val="00AB7BDB"/>
    <w:rsid w:val="00AC1639"/>
    <w:rsid w:val="00AC277F"/>
    <w:rsid w:val="00AC27DF"/>
    <w:rsid w:val="00AD0413"/>
    <w:rsid w:val="00AD11E5"/>
    <w:rsid w:val="00AD1AA9"/>
    <w:rsid w:val="00AD28FF"/>
    <w:rsid w:val="00AD3157"/>
    <w:rsid w:val="00AD382A"/>
    <w:rsid w:val="00AD3CF4"/>
    <w:rsid w:val="00AD4A57"/>
    <w:rsid w:val="00AE070B"/>
    <w:rsid w:val="00AE545E"/>
    <w:rsid w:val="00AE5A7C"/>
    <w:rsid w:val="00AF17FE"/>
    <w:rsid w:val="00AF1B50"/>
    <w:rsid w:val="00AF3459"/>
    <w:rsid w:val="00AF368F"/>
    <w:rsid w:val="00AF6639"/>
    <w:rsid w:val="00AF6B43"/>
    <w:rsid w:val="00AF7BEC"/>
    <w:rsid w:val="00B00036"/>
    <w:rsid w:val="00B01356"/>
    <w:rsid w:val="00B05FAC"/>
    <w:rsid w:val="00B06952"/>
    <w:rsid w:val="00B10478"/>
    <w:rsid w:val="00B1184F"/>
    <w:rsid w:val="00B13EAA"/>
    <w:rsid w:val="00B21311"/>
    <w:rsid w:val="00B2134B"/>
    <w:rsid w:val="00B21605"/>
    <w:rsid w:val="00B2294D"/>
    <w:rsid w:val="00B2506C"/>
    <w:rsid w:val="00B25705"/>
    <w:rsid w:val="00B26CA9"/>
    <w:rsid w:val="00B3005D"/>
    <w:rsid w:val="00B3011A"/>
    <w:rsid w:val="00B30895"/>
    <w:rsid w:val="00B31EEC"/>
    <w:rsid w:val="00B3310D"/>
    <w:rsid w:val="00B34FB0"/>
    <w:rsid w:val="00B41B13"/>
    <w:rsid w:val="00B4317F"/>
    <w:rsid w:val="00B45131"/>
    <w:rsid w:val="00B47BDC"/>
    <w:rsid w:val="00B47C4C"/>
    <w:rsid w:val="00B50BCA"/>
    <w:rsid w:val="00B54C4A"/>
    <w:rsid w:val="00B60525"/>
    <w:rsid w:val="00B60E97"/>
    <w:rsid w:val="00B657C1"/>
    <w:rsid w:val="00B667AA"/>
    <w:rsid w:val="00B66F4E"/>
    <w:rsid w:val="00B717B3"/>
    <w:rsid w:val="00B7280B"/>
    <w:rsid w:val="00B76B49"/>
    <w:rsid w:val="00B772CB"/>
    <w:rsid w:val="00B77F56"/>
    <w:rsid w:val="00B81A0E"/>
    <w:rsid w:val="00B86CEA"/>
    <w:rsid w:val="00B9124F"/>
    <w:rsid w:val="00B92D8D"/>
    <w:rsid w:val="00B93628"/>
    <w:rsid w:val="00B93833"/>
    <w:rsid w:val="00B93D81"/>
    <w:rsid w:val="00B9558B"/>
    <w:rsid w:val="00B9646B"/>
    <w:rsid w:val="00B97477"/>
    <w:rsid w:val="00B97A54"/>
    <w:rsid w:val="00BA073D"/>
    <w:rsid w:val="00BA1CD2"/>
    <w:rsid w:val="00BA2159"/>
    <w:rsid w:val="00BA3859"/>
    <w:rsid w:val="00BA396E"/>
    <w:rsid w:val="00BA39B1"/>
    <w:rsid w:val="00BA5860"/>
    <w:rsid w:val="00BA6BC5"/>
    <w:rsid w:val="00BA7FD2"/>
    <w:rsid w:val="00BB0937"/>
    <w:rsid w:val="00BB0B5C"/>
    <w:rsid w:val="00BB1B09"/>
    <w:rsid w:val="00BB261B"/>
    <w:rsid w:val="00BB269E"/>
    <w:rsid w:val="00BB296A"/>
    <w:rsid w:val="00BB325B"/>
    <w:rsid w:val="00BB3FAE"/>
    <w:rsid w:val="00BB45E2"/>
    <w:rsid w:val="00BB63CF"/>
    <w:rsid w:val="00BB6763"/>
    <w:rsid w:val="00BB6BAE"/>
    <w:rsid w:val="00BB770C"/>
    <w:rsid w:val="00BC07ED"/>
    <w:rsid w:val="00BC2B30"/>
    <w:rsid w:val="00BC2E02"/>
    <w:rsid w:val="00BC5EBA"/>
    <w:rsid w:val="00BD0FD4"/>
    <w:rsid w:val="00BD5563"/>
    <w:rsid w:val="00BD7400"/>
    <w:rsid w:val="00BE0C37"/>
    <w:rsid w:val="00BE3469"/>
    <w:rsid w:val="00BE466C"/>
    <w:rsid w:val="00BE5DC9"/>
    <w:rsid w:val="00BE648E"/>
    <w:rsid w:val="00BE6CB8"/>
    <w:rsid w:val="00BE7072"/>
    <w:rsid w:val="00BE79FE"/>
    <w:rsid w:val="00BF08D1"/>
    <w:rsid w:val="00BF59C2"/>
    <w:rsid w:val="00BF6669"/>
    <w:rsid w:val="00BF6E79"/>
    <w:rsid w:val="00BF7381"/>
    <w:rsid w:val="00BF7E25"/>
    <w:rsid w:val="00C01DA1"/>
    <w:rsid w:val="00C0298C"/>
    <w:rsid w:val="00C02F52"/>
    <w:rsid w:val="00C037C1"/>
    <w:rsid w:val="00C0549F"/>
    <w:rsid w:val="00C05F85"/>
    <w:rsid w:val="00C07275"/>
    <w:rsid w:val="00C073D0"/>
    <w:rsid w:val="00C07AD6"/>
    <w:rsid w:val="00C13DD5"/>
    <w:rsid w:val="00C1548D"/>
    <w:rsid w:val="00C15D8E"/>
    <w:rsid w:val="00C16FD6"/>
    <w:rsid w:val="00C175DF"/>
    <w:rsid w:val="00C24D53"/>
    <w:rsid w:val="00C24E67"/>
    <w:rsid w:val="00C2506E"/>
    <w:rsid w:val="00C26E91"/>
    <w:rsid w:val="00C302A2"/>
    <w:rsid w:val="00C31045"/>
    <w:rsid w:val="00C31483"/>
    <w:rsid w:val="00C3190A"/>
    <w:rsid w:val="00C336F6"/>
    <w:rsid w:val="00C33B3C"/>
    <w:rsid w:val="00C33D01"/>
    <w:rsid w:val="00C35202"/>
    <w:rsid w:val="00C405EB"/>
    <w:rsid w:val="00C40A40"/>
    <w:rsid w:val="00C43820"/>
    <w:rsid w:val="00C4490D"/>
    <w:rsid w:val="00C45E87"/>
    <w:rsid w:val="00C47312"/>
    <w:rsid w:val="00C474AE"/>
    <w:rsid w:val="00C50BE5"/>
    <w:rsid w:val="00C52255"/>
    <w:rsid w:val="00C52820"/>
    <w:rsid w:val="00C5318A"/>
    <w:rsid w:val="00C53AAD"/>
    <w:rsid w:val="00C5561F"/>
    <w:rsid w:val="00C55CF6"/>
    <w:rsid w:val="00C6001F"/>
    <w:rsid w:val="00C61629"/>
    <w:rsid w:val="00C61B85"/>
    <w:rsid w:val="00C6348A"/>
    <w:rsid w:val="00C635E9"/>
    <w:rsid w:val="00C63AD2"/>
    <w:rsid w:val="00C64692"/>
    <w:rsid w:val="00C65027"/>
    <w:rsid w:val="00C661E6"/>
    <w:rsid w:val="00C66A65"/>
    <w:rsid w:val="00C67A12"/>
    <w:rsid w:val="00C708E6"/>
    <w:rsid w:val="00C719E1"/>
    <w:rsid w:val="00C72025"/>
    <w:rsid w:val="00C725E4"/>
    <w:rsid w:val="00C739B4"/>
    <w:rsid w:val="00C750A8"/>
    <w:rsid w:val="00C83122"/>
    <w:rsid w:val="00C84761"/>
    <w:rsid w:val="00C91815"/>
    <w:rsid w:val="00C91C1B"/>
    <w:rsid w:val="00C92637"/>
    <w:rsid w:val="00C92C45"/>
    <w:rsid w:val="00CA1A9B"/>
    <w:rsid w:val="00CA248B"/>
    <w:rsid w:val="00CA37AB"/>
    <w:rsid w:val="00CA40A0"/>
    <w:rsid w:val="00CA40B9"/>
    <w:rsid w:val="00CA5327"/>
    <w:rsid w:val="00CA5942"/>
    <w:rsid w:val="00CA668F"/>
    <w:rsid w:val="00CA6C0A"/>
    <w:rsid w:val="00CB151B"/>
    <w:rsid w:val="00CB2333"/>
    <w:rsid w:val="00CB6E65"/>
    <w:rsid w:val="00CB71E3"/>
    <w:rsid w:val="00CC1A4E"/>
    <w:rsid w:val="00CC1F0F"/>
    <w:rsid w:val="00CC3D0A"/>
    <w:rsid w:val="00CC4D2A"/>
    <w:rsid w:val="00CC5865"/>
    <w:rsid w:val="00CC670F"/>
    <w:rsid w:val="00CC6C68"/>
    <w:rsid w:val="00CD0D1F"/>
    <w:rsid w:val="00CD19D9"/>
    <w:rsid w:val="00CD1E70"/>
    <w:rsid w:val="00CD250C"/>
    <w:rsid w:val="00CD28F2"/>
    <w:rsid w:val="00CE31FC"/>
    <w:rsid w:val="00CE3811"/>
    <w:rsid w:val="00CE4074"/>
    <w:rsid w:val="00CE4661"/>
    <w:rsid w:val="00CE4DE6"/>
    <w:rsid w:val="00CE5040"/>
    <w:rsid w:val="00CE5569"/>
    <w:rsid w:val="00CE5D78"/>
    <w:rsid w:val="00CE7F52"/>
    <w:rsid w:val="00CF0BD0"/>
    <w:rsid w:val="00CF10E1"/>
    <w:rsid w:val="00CF145A"/>
    <w:rsid w:val="00CF1557"/>
    <w:rsid w:val="00CF2C71"/>
    <w:rsid w:val="00CF4D85"/>
    <w:rsid w:val="00CF51AD"/>
    <w:rsid w:val="00CF54C3"/>
    <w:rsid w:val="00CF579C"/>
    <w:rsid w:val="00CF692B"/>
    <w:rsid w:val="00D0258B"/>
    <w:rsid w:val="00D0477E"/>
    <w:rsid w:val="00D06910"/>
    <w:rsid w:val="00D12864"/>
    <w:rsid w:val="00D16685"/>
    <w:rsid w:val="00D22509"/>
    <w:rsid w:val="00D25727"/>
    <w:rsid w:val="00D26095"/>
    <w:rsid w:val="00D260A7"/>
    <w:rsid w:val="00D30842"/>
    <w:rsid w:val="00D30DA7"/>
    <w:rsid w:val="00D316D3"/>
    <w:rsid w:val="00D334F4"/>
    <w:rsid w:val="00D3374F"/>
    <w:rsid w:val="00D33BBA"/>
    <w:rsid w:val="00D34292"/>
    <w:rsid w:val="00D348C4"/>
    <w:rsid w:val="00D34AEB"/>
    <w:rsid w:val="00D34C38"/>
    <w:rsid w:val="00D35E8F"/>
    <w:rsid w:val="00D411B0"/>
    <w:rsid w:val="00D447C8"/>
    <w:rsid w:val="00D44844"/>
    <w:rsid w:val="00D4633A"/>
    <w:rsid w:val="00D46DA0"/>
    <w:rsid w:val="00D46FD0"/>
    <w:rsid w:val="00D51B70"/>
    <w:rsid w:val="00D522D2"/>
    <w:rsid w:val="00D53497"/>
    <w:rsid w:val="00D53498"/>
    <w:rsid w:val="00D53822"/>
    <w:rsid w:val="00D60018"/>
    <w:rsid w:val="00D60D4D"/>
    <w:rsid w:val="00D619A6"/>
    <w:rsid w:val="00D62B89"/>
    <w:rsid w:val="00D633D8"/>
    <w:rsid w:val="00D66CB4"/>
    <w:rsid w:val="00D6774C"/>
    <w:rsid w:val="00D73482"/>
    <w:rsid w:val="00D73E8B"/>
    <w:rsid w:val="00D760FC"/>
    <w:rsid w:val="00D76376"/>
    <w:rsid w:val="00D76BEA"/>
    <w:rsid w:val="00D81C5D"/>
    <w:rsid w:val="00D8224F"/>
    <w:rsid w:val="00D82CFB"/>
    <w:rsid w:val="00D82EBD"/>
    <w:rsid w:val="00D84114"/>
    <w:rsid w:val="00D86361"/>
    <w:rsid w:val="00D87088"/>
    <w:rsid w:val="00D93AE0"/>
    <w:rsid w:val="00D943F1"/>
    <w:rsid w:val="00D95F3C"/>
    <w:rsid w:val="00D96D4F"/>
    <w:rsid w:val="00D97965"/>
    <w:rsid w:val="00DA0AC6"/>
    <w:rsid w:val="00DA4388"/>
    <w:rsid w:val="00DA4BA3"/>
    <w:rsid w:val="00DA6C7C"/>
    <w:rsid w:val="00DA6DED"/>
    <w:rsid w:val="00DA7E49"/>
    <w:rsid w:val="00DA7E94"/>
    <w:rsid w:val="00DB0DFC"/>
    <w:rsid w:val="00DB1076"/>
    <w:rsid w:val="00DB29CB"/>
    <w:rsid w:val="00DB2D18"/>
    <w:rsid w:val="00DB62A9"/>
    <w:rsid w:val="00DB6CBD"/>
    <w:rsid w:val="00DB70A1"/>
    <w:rsid w:val="00DB7EA8"/>
    <w:rsid w:val="00DC121E"/>
    <w:rsid w:val="00DC5741"/>
    <w:rsid w:val="00DC6F01"/>
    <w:rsid w:val="00DC7C37"/>
    <w:rsid w:val="00DD0632"/>
    <w:rsid w:val="00DD0B95"/>
    <w:rsid w:val="00DD1408"/>
    <w:rsid w:val="00DD143A"/>
    <w:rsid w:val="00DD1FE7"/>
    <w:rsid w:val="00DD24D9"/>
    <w:rsid w:val="00DD2833"/>
    <w:rsid w:val="00DD4389"/>
    <w:rsid w:val="00DE11B4"/>
    <w:rsid w:val="00DE3427"/>
    <w:rsid w:val="00DE4041"/>
    <w:rsid w:val="00DE43FB"/>
    <w:rsid w:val="00DE4980"/>
    <w:rsid w:val="00DE57C1"/>
    <w:rsid w:val="00DE57D2"/>
    <w:rsid w:val="00DE5CAB"/>
    <w:rsid w:val="00DE7BC6"/>
    <w:rsid w:val="00DF1755"/>
    <w:rsid w:val="00DF2096"/>
    <w:rsid w:val="00DF336B"/>
    <w:rsid w:val="00DF42CA"/>
    <w:rsid w:val="00DF5CE8"/>
    <w:rsid w:val="00DF6546"/>
    <w:rsid w:val="00DF7A5C"/>
    <w:rsid w:val="00E05473"/>
    <w:rsid w:val="00E055D1"/>
    <w:rsid w:val="00E12399"/>
    <w:rsid w:val="00E12411"/>
    <w:rsid w:val="00E13A92"/>
    <w:rsid w:val="00E13C76"/>
    <w:rsid w:val="00E15F5C"/>
    <w:rsid w:val="00E16E42"/>
    <w:rsid w:val="00E216A2"/>
    <w:rsid w:val="00E222D1"/>
    <w:rsid w:val="00E230DA"/>
    <w:rsid w:val="00E243BE"/>
    <w:rsid w:val="00E25823"/>
    <w:rsid w:val="00E265BD"/>
    <w:rsid w:val="00E2780F"/>
    <w:rsid w:val="00E3118A"/>
    <w:rsid w:val="00E33188"/>
    <w:rsid w:val="00E346E7"/>
    <w:rsid w:val="00E3691A"/>
    <w:rsid w:val="00E379B3"/>
    <w:rsid w:val="00E41E91"/>
    <w:rsid w:val="00E4202E"/>
    <w:rsid w:val="00E42EEE"/>
    <w:rsid w:val="00E44551"/>
    <w:rsid w:val="00E45281"/>
    <w:rsid w:val="00E463C9"/>
    <w:rsid w:val="00E47188"/>
    <w:rsid w:val="00E51253"/>
    <w:rsid w:val="00E53F01"/>
    <w:rsid w:val="00E54304"/>
    <w:rsid w:val="00E54676"/>
    <w:rsid w:val="00E54E94"/>
    <w:rsid w:val="00E5571B"/>
    <w:rsid w:val="00E562E9"/>
    <w:rsid w:val="00E5766D"/>
    <w:rsid w:val="00E61408"/>
    <w:rsid w:val="00E6143E"/>
    <w:rsid w:val="00E6299B"/>
    <w:rsid w:val="00E6380C"/>
    <w:rsid w:val="00E7526B"/>
    <w:rsid w:val="00E75288"/>
    <w:rsid w:val="00E76396"/>
    <w:rsid w:val="00E767DF"/>
    <w:rsid w:val="00E808CE"/>
    <w:rsid w:val="00E82038"/>
    <w:rsid w:val="00E822A8"/>
    <w:rsid w:val="00E8454F"/>
    <w:rsid w:val="00E857A9"/>
    <w:rsid w:val="00E86CD0"/>
    <w:rsid w:val="00E90C3A"/>
    <w:rsid w:val="00E90E20"/>
    <w:rsid w:val="00E91D28"/>
    <w:rsid w:val="00E9270E"/>
    <w:rsid w:val="00E93BA1"/>
    <w:rsid w:val="00E95DFB"/>
    <w:rsid w:val="00E96513"/>
    <w:rsid w:val="00EA031F"/>
    <w:rsid w:val="00EA109C"/>
    <w:rsid w:val="00EA1547"/>
    <w:rsid w:val="00EA19F6"/>
    <w:rsid w:val="00EA33D2"/>
    <w:rsid w:val="00EA46B8"/>
    <w:rsid w:val="00EA5417"/>
    <w:rsid w:val="00EA7706"/>
    <w:rsid w:val="00EA7D8E"/>
    <w:rsid w:val="00EB0D55"/>
    <w:rsid w:val="00EB2298"/>
    <w:rsid w:val="00EB2946"/>
    <w:rsid w:val="00EB32EA"/>
    <w:rsid w:val="00EB3932"/>
    <w:rsid w:val="00EB39DC"/>
    <w:rsid w:val="00EB77F6"/>
    <w:rsid w:val="00EB7A7B"/>
    <w:rsid w:val="00EC0CE1"/>
    <w:rsid w:val="00EC4A05"/>
    <w:rsid w:val="00EC5323"/>
    <w:rsid w:val="00EC550E"/>
    <w:rsid w:val="00EC61A8"/>
    <w:rsid w:val="00ED0D59"/>
    <w:rsid w:val="00ED1B4E"/>
    <w:rsid w:val="00ED3270"/>
    <w:rsid w:val="00ED5921"/>
    <w:rsid w:val="00ED7DED"/>
    <w:rsid w:val="00EE28BA"/>
    <w:rsid w:val="00EE2B5F"/>
    <w:rsid w:val="00EE2C3D"/>
    <w:rsid w:val="00EE2ECF"/>
    <w:rsid w:val="00EE3A08"/>
    <w:rsid w:val="00EE5F46"/>
    <w:rsid w:val="00EE7F87"/>
    <w:rsid w:val="00EF5358"/>
    <w:rsid w:val="00EF55E2"/>
    <w:rsid w:val="00EF580F"/>
    <w:rsid w:val="00EF79FF"/>
    <w:rsid w:val="00F02A0C"/>
    <w:rsid w:val="00F02AC0"/>
    <w:rsid w:val="00F02DF6"/>
    <w:rsid w:val="00F03822"/>
    <w:rsid w:val="00F03ADF"/>
    <w:rsid w:val="00F04764"/>
    <w:rsid w:val="00F05131"/>
    <w:rsid w:val="00F0644B"/>
    <w:rsid w:val="00F070FE"/>
    <w:rsid w:val="00F110EA"/>
    <w:rsid w:val="00F11471"/>
    <w:rsid w:val="00F11C06"/>
    <w:rsid w:val="00F1359E"/>
    <w:rsid w:val="00F163FB"/>
    <w:rsid w:val="00F16418"/>
    <w:rsid w:val="00F20CB2"/>
    <w:rsid w:val="00F233C9"/>
    <w:rsid w:val="00F239B3"/>
    <w:rsid w:val="00F2416C"/>
    <w:rsid w:val="00F24170"/>
    <w:rsid w:val="00F25823"/>
    <w:rsid w:val="00F258CB"/>
    <w:rsid w:val="00F26824"/>
    <w:rsid w:val="00F2773C"/>
    <w:rsid w:val="00F27FE6"/>
    <w:rsid w:val="00F30F40"/>
    <w:rsid w:val="00F31E5A"/>
    <w:rsid w:val="00F3285E"/>
    <w:rsid w:val="00F32CDE"/>
    <w:rsid w:val="00F34612"/>
    <w:rsid w:val="00F36ADD"/>
    <w:rsid w:val="00F404D6"/>
    <w:rsid w:val="00F42A96"/>
    <w:rsid w:val="00F43A63"/>
    <w:rsid w:val="00F441C1"/>
    <w:rsid w:val="00F444C0"/>
    <w:rsid w:val="00F46663"/>
    <w:rsid w:val="00F50197"/>
    <w:rsid w:val="00F5125B"/>
    <w:rsid w:val="00F5151E"/>
    <w:rsid w:val="00F52AA2"/>
    <w:rsid w:val="00F52E9C"/>
    <w:rsid w:val="00F53553"/>
    <w:rsid w:val="00F5481A"/>
    <w:rsid w:val="00F55B52"/>
    <w:rsid w:val="00F55DEC"/>
    <w:rsid w:val="00F568AF"/>
    <w:rsid w:val="00F575A4"/>
    <w:rsid w:val="00F60DD8"/>
    <w:rsid w:val="00F6423D"/>
    <w:rsid w:val="00F64B41"/>
    <w:rsid w:val="00F67BF7"/>
    <w:rsid w:val="00F706F3"/>
    <w:rsid w:val="00F70D5D"/>
    <w:rsid w:val="00F73D3E"/>
    <w:rsid w:val="00F75868"/>
    <w:rsid w:val="00F76E67"/>
    <w:rsid w:val="00F8088F"/>
    <w:rsid w:val="00F82F0A"/>
    <w:rsid w:val="00F84E94"/>
    <w:rsid w:val="00F8634F"/>
    <w:rsid w:val="00F8636F"/>
    <w:rsid w:val="00F8793C"/>
    <w:rsid w:val="00F918E9"/>
    <w:rsid w:val="00F921B2"/>
    <w:rsid w:val="00F9313C"/>
    <w:rsid w:val="00F9367B"/>
    <w:rsid w:val="00F9650B"/>
    <w:rsid w:val="00F9745A"/>
    <w:rsid w:val="00FA00B3"/>
    <w:rsid w:val="00FA0B1D"/>
    <w:rsid w:val="00FA126D"/>
    <w:rsid w:val="00FA3113"/>
    <w:rsid w:val="00FA334A"/>
    <w:rsid w:val="00FA3787"/>
    <w:rsid w:val="00FA5FE5"/>
    <w:rsid w:val="00FA6AAA"/>
    <w:rsid w:val="00FA7323"/>
    <w:rsid w:val="00FA75E1"/>
    <w:rsid w:val="00FB14E3"/>
    <w:rsid w:val="00FB18D5"/>
    <w:rsid w:val="00FB2E17"/>
    <w:rsid w:val="00FB3614"/>
    <w:rsid w:val="00FB4D76"/>
    <w:rsid w:val="00FB51DA"/>
    <w:rsid w:val="00FB7DE8"/>
    <w:rsid w:val="00FC3003"/>
    <w:rsid w:val="00FC413E"/>
    <w:rsid w:val="00FC43A6"/>
    <w:rsid w:val="00FC5B32"/>
    <w:rsid w:val="00FC6360"/>
    <w:rsid w:val="00FD047A"/>
    <w:rsid w:val="00FD09CB"/>
    <w:rsid w:val="00FD0CDE"/>
    <w:rsid w:val="00FD1B22"/>
    <w:rsid w:val="00FD228E"/>
    <w:rsid w:val="00FD36BD"/>
    <w:rsid w:val="00FD4BB2"/>
    <w:rsid w:val="00FD5D14"/>
    <w:rsid w:val="00FD6248"/>
    <w:rsid w:val="00FD7B99"/>
    <w:rsid w:val="00FE185D"/>
    <w:rsid w:val="00FE2C56"/>
    <w:rsid w:val="00FE3210"/>
    <w:rsid w:val="00FE40D4"/>
    <w:rsid w:val="00FE760D"/>
    <w:rsid w:val="00FE7C4C"/>
    <w:rsid w:val="00FE7CA7"/>
    <w:rsid w:val="00FF076E"/>
    <w:rsid w:val="00FF11AF"/>
    <w:rsid w:val="00FF256F"/>
    <w:rsid w:val="00FF2773"/>
    <w:rsid w:val="00FF30E2"/>
    <w:rsid w:val="00FF4055"/>
    <w:rsid w:val="00FF4E08"/>
    <w:rsid w:val="00FF5FDF"/>
    <w:rsid w:val="00FF5FE4"/>
    <w:rsid w:val="00FF77FB"/>
    <w:rsid w:val="00FF7FA2"/>
    <w:rsid w:val="0291C4FB"/>
    <w:rsid w:val="02AFFFC0"/>
    <w:rsid w:val="03FB6188"/>
    <w:rsid w:val="046963CC"/>
    <w:rsid w:val="0472E867"/>
    <w:rsid w:val="05136FF3"/>
    <w:rsid w:val="066743F5"/>
    <w:rsid w:val="06D87A20"/>
    <w:rsid w:val="070354FC"/>
    <w:rsid w:val="0721BFA3"/>
    <w:rsid w:val="0745FB40"/>
    <w:rsid w:val="07618978"/>
    <w:rsid w:val="0841EBF4"/>
    <w:rsid w:val="089C9F6A"/>
    <w:rsid w:val="0A45D775"/>
    <w:rsid w:val="0A795DEB"/>
    <w:rsid w:val="0AB108C0"/>
    <w:rsid w:val="0B00F0E6"/>
    <w:rsid w:val="0B3A6128"/>
    <w:rsid w:val="0BD705A3"/>
    <w:rsid w:val="0C1E17F1"/>
    <w:rsid w:val="0CE3E504"/>
    <w:rsid w:val="0CEC672D"/>
    <w:rsid w:val="0D2E61A7"/>
    <w:rsid w:val="0E46C3C5"/>
    <w:rsid w:val="0E7A14C5"/>
    <w:rsid w:val="0EDA8E23"/>
    <w:rsid w:val="0EE44926"/>
    <w:rsid w:val="0FEEF3EF"/>
    <w:rsid w:val="10A26404"/>
    <w:rsid w:val="11812FD8"/>
    <w:rsid w:val="1230A98D"/>
    <w:rsid w:val="127AC80A"/>
    <w:rsid w:val="128057BA"/>
    <w:rsid w:val="12BF5980"/>
    <w:rsid w:val="12CA8BCA"/>
    <w:rsid w:val="12CBDCCC"/>
    <w:rsid w:val="1486E83C"/>
    <w:rsid w:val="154170E0"/>
    <w:rsid w:val="15B6E3D4"/>
    <w:rsid w:val="161D5B94"/>
    <w:rsid w:val="17015197"/>
    <w:rsid w:val="1781BBD8"/>
    <w:rsid w:val="17D4F847"/>
    <w:rsid w:val="17DBFFA7"/>
    <w:rsid w:val="181E8370"/>
    <w:rsid w:val="185224E8"/>
    <w:rsid w:val="195E8E1B"/>
    <w:rsid w:val="19611DFE"/>
    <w:rsid w:val="1A69FCC4"/>
    <w:rsid w:val="1B8BBC54"/>
    <w:rsid w:val="1BA47C55"/>
    <w:rsid w:val="1C4E8977"/>
    <w:rsid w:val="1C6058F2"/>
    <w:rsid w:val="1CCBA6DE"/>
    <w:rsid w:val="1DFBBD14"/>
    <w:rsid w:val="1E923B72"/>
    <w:rsid w:val="1EF418E2"/>
    <w:rsid w:val="1F02EC26"/>
    <w:rsid w:val="1F05B124"/>
    <w:rsid w:val="1F160910"/>
    <w:rsid w:val="1F4A2DBF"/>
    <w:rsid w:val="1F8568FB"/>
    <w:rsid w:val="2008ADD5"/>
    <w:rsid w:val="203ACECC"/>
    <w:rsid w:val="20BAA685"/>
    <w:rsid w:val="2114E9E9"/>
    <w:rsid w:val="218FB84D"/>
    <w:rsid w:val="22121901"/>
    <w:rsid w:val="2323F615"/>
    <w:rsid w:val="2327E86D"/>
    <w:rsid w:val="2328FA93"/>
    <w:rsid w:val="235C7A8F"/>
    <w:rsid w:val="247A9E81"/>
    <w:rsid w:val="249AE7A9"/>
    <w:rsid w:val="255D13FA"/>
    <w:rsid w:val="25D5F933"/>
    <w:rsid w:val="265278BF"/>
    <w:rsid w:val="26BF4EE4"/>
    <w:rsid w:val="270192A0"/>
    <w:rsid w:val="2736E789"/>
    <w:rsid w:val="27465BE0"/>
    <w:rsid w:val="274A3266"/>
    <w:rsid w:val="292D84F3"/>
    <w:rsid w:val="2990B1F9"/>
    <w:rsid w:val="2A3A18BC"/>
    <w:rsid w:val="2A5D114C"/>
    <w:rsid w:val="2AA47BD4"/>
    <w:rsid w:val="2B23D91B"/>
    <w:rsid w:val="2C1FFE86"/>
    <w:rsid w:val="2C4007C8"/>
    <w:rsid w:val="2C9260FC"/>
    <w:rsid w:val="2D018EFA"/>
    <w:rsid w:val="2DFC2E6E"/>
    <w:rsid w:val="2E2F5976"/>
    <w:rsid w:val="2E37A68B"/>
    <w:rsid w:val="2E43737A"/>
    <w:rsid w:val="2ED60162"/>
    <w:rsid w:val="2FE840F1"/>
    <w:rsid w:val="31727E2B"/>
    <w:rsid w:val="31744D6C"/>
    <w:rsid w:val="31FFD129"/>
    <w:rsid w:val="32D37257"/>
    <w:rsid w:val="3446A9E6"/>
    <w:rsid w:val="34B54C62"/>
    <w:rsid w:val="34DB5D01"/>
    <w:rsid w:val="35314627"/>
    <w:rsid w:val="3585694C"/>
    <w:rsid w:val="3601C6C5"/>
    <w:rsid w:val="363B8F41"/>
    <w:rsid w:val="36521C28"/>
    <w:rsid w:val="3666B77E"/>
    <w:rsid w:val="374A3C30"/>
    <w:rsid w:val="386C7737"/>
    <w:rsid w:val="39A9EC78"/>
    <w:rsid w:val="39CA6C67"/>
    <w:rsid w:val="39D16452"/>
    <w:rsid w:val="39D1B46E"/>
    <w:rsid w:val="3A41A566"/>
    <w:rsid w:val="3AA0CE2D"/>
    <w:rsid w:val="3AC7EE2C"/>
    <w:rsid w:val="3B8D76BC"/>
    <w:rsid w:val="3C4562B4"/>
    <w:rsid w:val="3CA16F1E"/>
    <w:rsid w:val="3CB07EA3"/>
    <w:rsid w:val="3D643ED5"/>
    <w:rsid w:val="3E2DF9E9"/>
    <w:rsid w:val="3E5D7E1A"/>
    <w:rsid w:val="3EBB983B"/>
    <w:rsid w:val="3EE5E2A1"/>
    <w:rsid w:val="3FB1EA05"/>
    <w:rsid w:val="401E1326"/>
    <w:rsid w:val="408C4B9A"/>
    <w:rsid w:val="41070A88"/>
    <w:rsid w:val="41238930"/>
    <w:rsid w:val="41BB12F7"/>
    <w:rsid w:val="42B6B826"/>
    <w:rsid w:val="43493C85"/>
    <w:rsid w:val="4361E8E4"/>
    <w:rsid w:val="4371718A"/>
    <w:rsid w:val="43C3C314"/>
    <w:rsid w:val="43CC4F51"/>
    <w:rsid w:val="43E738D1"/>
    <w:rsid w:val="44CDDC17"/>
    <w:rsid w:val="45246346"/>
    <w:rsid w:val="45781626"/>
    <w:rsid w:val="458BC033"/>
    <w:rsid w:val="459CDDFC"/>
    <w:rsid w:val="45CE6B50"/>
    <w:rsid w:val="45F53279"/>
    <w:rsid w:val="469C5792"/>
    <w:rsid w:val="46A1592E"/>
    <w:rsid w:val="46A89608"/>
    <w:rsid w:val="477990C8"/>
    <w:rsid w:val="477B0EDC"/>
    <w:rsid w:val="48060D4D"/>
    <w:rsid w:val="489CDB28"/>
    <w:rsid w:val="48B3CD82"/>
    <w:rsid w:val="4929E34C"/>
    <w:rsid w:val="498F7298"/>
    <w:rsid w:val="4ACBCD61"/>
    <w:rsid w:val="4B50632B"/>
    <w:rsid w:val="4C881048"/>
    <w:rsid w:val="4CC8277C"/>
    <w:rsid w:val="4D8640BB"/>
    <w:rsid w:val="4DDCD4D6"/>
    <w:rsid w:val="4E0DCBFD"/>
    <w:rsid w:val="4F117E68"/>
    <w:rsid w:val="4F851F57"/>
    <w:rsid w:val="4F8E38FA"/>
    <w:rsid w:val="4F9B0933"/>
    <w:rsid w:val="4FE1EBF7"/>
    <w:rsid w:val="506197F4"/>
    <w:rsid w:val="51438E79"/>
    <w:rsid w:val="51D1C067"/>
    <w:rsid w:val="520A6336"/>
    <w:rsid w:val="523C8752"/>
    <w:rsid w:val="525A937E"/>
    <w:rsid w:val="531CE113"/>
    <w:rsid w:val="53D9217B"/>
    <w:rsid w:val="5437C7C6"/>
    <w:rsid w:val="5533F464"/>
    <w:rsid w:val="55351A17"/>
    <w:rsid w:val="56923563"/>
    <w:rsid w:val="56DE91FE"/>
    <w:rsid w:val="5784E56D"/>
    <w:rsid w:val="580A8532"/>
    <w:rsid w:val="58A89868"/>
    <w:rsid w:val="59E1745E"/>
    <w:rsid w:val="5A2F414F"/>
    <w:rsid w:val="5B2114AE"/>
    <w:rsid w:val="5B31632F"/>
    <w:rsid w:val="5C200C09"/>
    <w:rsid w:val="5D1A5799"/>
    <w:rsid w:val="5D3847EC"/>
    <w:rsid w:val="5D66ED8E"/>
    <w:rsid w:val="5DA2B3B3"/>
    <w:rsid w:val="5E2D3FFC"/>
    <w:rsid w:val="5E646031"/>
    <w:rsid w:val="5EC59B5D"/>
    <w:rsid w:val="5EF1EB39"/>
    <w:rsid w:val="5F2FC202"/>
    <w:rsid w:val="5F361F6F"/>
    <w:rsid w:val="5FF46BEB"/>
    <w:rsid w:val="6078A0DA"/>
    <w:rsid w:val="613566D9"/>
    <w:rsid w:val="61C16A3A"/>
    <w:rsid w:val="626281E1"/>
    <w:rsid w:val="631983F4"/>
    <w:rsid w:val="63F91AEC"/>
    <w:rsid w:val="641ACB35"/>
    <w:rsid w:val="64CC17FC"/>
    <w:rsid w:val="657BE0AF"/>
    <w:rsid w:val="65E43427"/>
    <w:rsid w:val="66183AEB"/>
    <w:rsid w:val="67CCAB20"/>
    <w:rsid w:val="67E030C6"/>
    <w:rsid w:val="67EA485C"/>
    <w:rsid w:val="68038973"/>
    <w:rsid w:val="685DBFAB"/>
    <w:rsid w:val="699451AC"/>
    <w:rsid w:val="699A0AA2"/>
    <w:rsid w:val="69AFF6DB"/>
    <w:rsid w:val="69C1B306"/>
    <w:rsid w:val="69FBBFEB"/>
    <w:rsid w:val="6A34FA94"/>
    <w:rsid w:val="6B89A70B"/>
    <w:rsid w:val="6BAC48AB"/>
    <w:rsid w:val="6BD69EDB"/>
    <w:rsid w:val="6C3A71C0"/>
    <w:rsid w:val="6CAF6B41"/>
    <w:rsid w:val="6D7AD66C"/>
    <w:rsid w:val="6D88B70A"/>
    <w:rsid w:val="6EE64097"/>
    <w:rsid w:val="6EFA8DB8"/>
    <w:rsid w:val="6F001123"/>
    <w:rsid w:val="6F58AF7E"/>
    <w:rsid w:val="6F860B88"/>
    <w:rsid w:val="6F9F4F90"/>
    <w:rsid w:val="70845160"/>
    <w:rsid w:val="72B9A816"/>
    <w:rsid w:val="732B9C57"/>
    <w:rsid w:val="73A3F2B0"/>
    <w:rsid w:val="73E34F02"/>
    <w:rsid w:val="74D2A091"/>
    <w:rsid w:val="758BBBDB"/>
    <w:rsid w:val="7633DFE5"/>
    <w:rsid w:val="76B6E15E"/>
    <w:rsid w:val="7704C90E"/>
    <w:rsid w:val="770FD752"/>
    <w:rsid w:val="777D8B31"/>
    <w:rsid w:val="7882BB70"/>
    <w:rsid w:val="78E50BBC"/>
    <w:rsid w:val="79131301"/>
    <w:rsid w:val="7922E2CE"/>
    <w:rsid w:val="7ACFE9DE"/>
    <w:rsid w:val="7AD2CA92"/>
    <w:rsid w:val="7B17E743"/>
    <w:rsid w:val="7B322752"/>
    <w:rsid w:val="7BA45890"/>
    <w:rsid w:val="7BFC2C7E"/>
    <w:rsid w:val="7C50D516"/>
    <w:rsid w:val="7CD17B3B"/>
    <w:rsid w:val="7CEF0880"/>
    <w:rsid w:val="7CFEADF6"/>
    <w:rsid w:val="7D0401FD"/>
    <w:rsid w:val="7D69E0C4"/>
    <w:rsid w:val="7D916F12"/>
    <w:rsid w:val="7DD5F35D"/>
    <w:rsid w:val="7E75C2D4"/>
    <w:rsid w:val="7EB7298E"/>
    <w:rsid w:val="7F187638"/>
    <w:rsid w:val="7FA5BD09"/>
    <w:rsid w:val="7FC73F0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E2CE"/>
  <w15:chartTrackingRefBased/>
  <w15:docId w15:val="{2B3D3D08-C8EF-4E78-BF02-E2A49B65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77F56"/>
    <w:pPr>
      <w:keepNext/>
      <w:keepLines/>
      <w:spacing w:before="480" w:line="276" w:lineRule="auto"/>
      <w:outlineLvl w:val="0"/>
    </w:pPr>
    <w:rPr>
      <w:rFonts w:asciiTheme="majorHAnsi" w:eastAsiaTheme="majorEastAsia" w:hAnsiTheme="majorHAnsi" w:cstheme="majorBidi"/>
      <w:b/>
      <w:bCs/>
      <w:color w:val="00437F"/>
      <w:sz w:val="36"/>
      <w:szCs w:val="28"/>
      <w:lang w:val="en-GB"/>
    </w:rPr>
  </w:style>
  <w:style w:type="paragraph" w:styleId="Heading2">
    <w:name w:val="heading 2"/>
    <w:basedOn w:val="Normal"/>
    <w:next w:val="Normal"/>
    <w:link w:val="Heading2Char"/>
    <w:uiPriority w:val="9"/>
    <w:unhideWhenUsed/>
    <w:qFormat/>
    <w:rsid w:val="00F239B3"/>
    <w:pPr>
      <w:keepNext/>
      <w:keepLines/>
      <w:spacing w:before="200" w:line="276" w:lineRule="auto"/>
      <w:outlineLvl w:val="1"/>
    </w:pPr>
    <w:rPr>
      <w:rFonts w:asciiTheme="majorHAnsi" w:eastAsiaTheme="majorEastAsia" w:hAnsiTheme="majorHAnsi" w:cstheme="majorBidi"/>
      <w:b/>
      <w:bCs/>
      <w:color w:val="00437F"/>
      <w:sz w:val="32"/>
      <w:szCs w:val="26"/>
      <w:lang w:val="en-GB"/>
    </w:rPr>
  </w:style>
  <w:style w:type="paragraph" w:styleId="Heading3">
    <w:name w:val="heading 3"/>
    <w:basedOn w:val="Normal"/>
    <w:next w:val="Normal"/>
    <w:link w:val="Heading3Char"/>
    <w:uiPriority w:val="9"/>
    <w:unhideWhenUsed/>
    <w:qFormat/>
    <w:rsid w:val="0030356F"/>
    <w:pPr>
      <w:keepNext/>
      <w:keepLines/>
      <w:spacing w:before="200" w:line="276" w:lineRule="auto"/>
      <w:outlineLvl w:val="2"/>
    </w:pPr>
    <w:rPr>
      <w:rFonts w:asciiTheme="majorHAnsi" w:eastAsiaTheme="majorEastAsia" w:hAnsiTheme="majorHAnsi" w:cstheme="majorBidi"/>
      <w:b/>
      <w:bCs/>
      <w:color w:val="1CADE4" w:themeColor="accent1"/>
      <w:sz w:val="22"/>
      <w:szCs w:val="22"/>
      <w:lang w:val="en-GB"/>
    </w:rPr>
  </w:style>
  <w:style w:type="paragraph" w:styleId="Heading4">
    <w:name w:val="heading 4"/>
    <w:basedOn w:val="Normal"/>
    <w:next w:val="Normal"/>
    <w:link w:val="Heading4Char"/>
    <w:uiPriority w:val="9"/>
    <w:semiHidden/>
    <w:unhideWhenUsed/>
    <w:qFormat/>
    <w:rsid w:val="0030356F"/>
    <w:pPr>
      <w:keepNext/>
      <w:keepLines/>
      <w:spacing w:before="200" w:line="276" w:lineRule="auto"/>
      <w:outlineLvl w:val="3"/>
    </w:pPr>
    <w:rPr>
      <w:rFonts w:asciiTheme="majorHAnsi" w:eastAsiaTheme="majorEastAsia" w:hAnsiTheme="majorHAnsi" w:cstheme="majorBidi"/>
      <w:b/>
      <w:bCs/>
      <w:i/>
      <w:iCs/>
      <w:color w:val="1CADE4" w:themeColor="accent1"/>
      <w:sz w:val="22"/>
      <w:szCs w:val="22"/>
      <w:lang w:val="en-GB"/>
    </w:rPr>
  </w:style>
  <w:style w:type="paragraph" w:styleId="Heading5">
    <w:name w:val="heading 5"/>
    <w:basedOn w:val="Normal"/>
    <w:next w:val="Normal"/>
    <w:link w:val="Heading5Char"/>
    <w:uiPriority w:val="9"/>
    <w:semiHidden/>
    <w:unhideWhenUsed/>
    <w:qFormat/>
    <w:rsid w:val="0030356F"/>
    <w:pPr>
      <w:keepNext/>
      <w:keepLines/>
      <w:spacing w:before="200"/>
      <w:outlineLvl w:val="4"/>
    </w:pPr>
    <w:rPr>
      <w:rFonts w:asciiTheme="majorHAnsi" w:eastAsiaTheme="majorEastAsia" w:hAnsiTheme="majorHAnsi" w:cstheme="majorBidi"/>
      <w:color w:val="0D5571" w:themeColor="accent1" w:themeShade="7F"/>
    </w:rPr>
  </w:style>
  <w:style w:type="paragraph" w:styleId="Heading6">
    <w:name w:val="heading 6"/>
    <w:basedOn w:val="Normal"/>
    <w:next w:val="Normal"/>
    <w:link w:val="Heading6Char"/>
    <w:uiPriority w:val="9"/>
    <w:semiHidden/>
    <w:unhideWhenUsed/>
    <w:qFormat/>
    <w:rsid w:val="0030356F"/>
    <w:pPr>
      <w:keepNext/>
      <w:keepLines/>
      <w:spacing w:before="200"/>
      <w:outlineLvl w:val="5"/>
    </w:pPr>
    <w:rPr>
      <w:rFonts w:asciiTheme="majorHAnsi" w:eastAsiaTheme="majorEastAsia" w:hAnsiTheme="majorHAnsi" w:cstheme="majorBidi"/>
      <w:i/>
      <w:iCs/>
      <w:color w:val="0D5571" w:themeColor="accent1" w:themeShade="7F"/>
    </w:rPr>
  </w:style>
  <w:style w:type="paragraph" w:styleId="Heading7">
    <w:name w:val="heading 7"/>
    <w:basedOn w:val="Normal"/>
    <w:next w:val="Normal"/>
    <w:link w:val="Heading7Char"/>
    <w:uiPriority w:val="9"/>
    <w:semiHidden/>
    <w:unhideWhenUsed/>
    <w:qFormat/>
    <w:rsid w:val="003035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356F"/>
    <w:pPr>
      <w:keepNext/>
      <w:keepLines/>
      <w:spacing w:before="200"/>
      <w:outlineLvl w:val="7"/>
    </w:pPr>
    <w:rPr>
      <w:rFonts w:asciiTheme="majorHAnsi" w:eastAsiaTheme="majorEastAsia" w:hAnsiTheme="majorHAnsi" w:cstheme="majorBidi"/>
      <w:color w:val="1CADE4" w:themeColor="accent1"/>
      <w:sz w:val="20"/>
      <w:szCs w:val="20"/>
    </w:rPr>
  </w:style>
  <w:style w:type="paragraph" w:styleId="Heading9">
    <w:name w:val="heading 9"/>
    <w:basedOn w:val="Normal"/>
    <w:next w:val="Normal"/>
    <w:link w:val="Heading9Char"/>
    <w:uiPriority w:val="9"/>
    <w:semiHidden/>
    <w:unhideWhenUsed/>
    <w:qFormat/>
    <w:rsid w:val="003035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E5"/>
    <w:pPr>
      <w:tabs>
        <w:tab w:val="center" w:pos="4153"/>
        <w:tab w:val="right" w:pos="8306"/>
      </w:tabs>
    </w:pPr>
    <w:rPr>
      <w:rFonts w:asciiTheme="minorHAnsi" w:eastAsiaTheme="minorEastAsia" w:hAnsiTheme="minorHAnsi" w:cstheme="minorBidi"/>
      <w:sz w:val="22"/>
      <w:szCs w:val="22"/>
      <w:lang w:val="en-GB"/>
    </w:rPr>
  </w:style>
  <w:style w:type="character" w:customStyle="1" w:styleId="HeaderChar">
    <w:name w:val="Header Char"/>
    <w:basedOn w:val="DefaultParagraphFont"/>
    <w:link w:val="Header"/>
    <w:uiPriority w:val="99"/>
    <w:rsid w:val="002226E5"/>
  </w:style>
  <w:style w:type="paragraph" w:styleId="Footer">
    <w:name w:val="footer"/>
    <w:link w:val="FooterChar"/>
    <w:uiPriority w:val="99"/>
    <w:unhideWhenUsed/>
    <w:rsid w:val="00F239B3"/>
    <w:pPr>
      <w:tabs>
        <w:tab w:val="center" w:pos="4153"/>
        <w:tab w:val="right" w:pos="8306"/>
      </w:tabs>
      <w:spacing w:before="120" w:after="120" w:line="240" w:lineRule="auto"/>
    </w:pPr>
    <w:rPr>
      <w:rFonts w:ascii="Arial" w:hAnsi="Arial"/>
      <w:sz w:val="15"/>
    </w:rPr>
  </w:style>
  <w:style w:type="character" w:customStyle="1" w:styleId="FooterChar">
    <w:name w:val="Footer Char"/>
    <w:basedOn w:val="DefaultParagraphFont"/>
    <w:link w:val="Footer"/>
    <w:uiPriority w:val="99"/>
    <w:rsid w:val="00F239B3"/>
    <w:rPr>
      <w:rFonts w:ascii="Arial" w:hAnsi="Arial"/>
      <w:sz w:val="15"/>
    </w:rPr>
  </w:style>
  <w:style w:type="character" w:styleId="Hyperlink">
    <w:name w:val="Hyperlink"/>
    <w:uiPriority w:val="99"/>
    <w:unhideWhenUsed/>
    <w:rsid w:val="00A1775E"/>
    <w:rPr>
      <w:rFonts w:ascii="Arial" w:hAnsi="Arial"/>
      <w:color w:val="00437F"/>
      <w:u w:val="none"/>
    </w:rPr>
  </w:style>
  <w:style w:type="paragraph" w:styleId="ListParagraph">
    <w:name w:val="List Paragraph"/>
    <w:basedOn w:val="Normal"/>
    <w:uiPriority w:val="34"/>
    <w:qFormat/>
    <w:rsid w:val="0030356F"/>
    <w:pPr>
      <w:spacing w:after="200" w:line="276" w:lineRule="auto"/>
      <w:ind w:left="720"/>
      <w:contextualSpacing/>
    </w:pPr>
    <w:rPr>
      <w:rFonts w:asciiTheme="minorHAnsi" w:eastAsiaTheme="minorEastAsia" w:hAnsiTheme="minorHAnsi" w:cstheme="minorBidi"/>
      <w:sz w:val="22"/>
      <w:szCs w:val="22"/>
      <w:lang w:val="en-GB"/>
    </w:rPr>
  </w:style>
  <w:style w:type="paragraph" w:styleId="NormalWeb">
    <w:name w:val="Normal (Web)"/>
    <w:basedOn w:val="Normal"/>
    <w:uiPriority w:val="99"/>
    <w:unhideWhenUsed/>
    <w:rsid w:val="005F65A7"/>
    <w:pPr>
      <w:spacing w:before="100" w:beforeAutospacing="1" w:after="100" w:afterAutospacing="1"/>
    </w:pPr>
    <w:rPr>
      <w:lang w:val="el-GR" w:eastAsia="el-GR"/>
    </w:rPr>
  </w:style>
  <w:style w:type="paragraph" w:styleId="NoSpacing">
    <w:name w:val="No Spacing"/>
    <w:link w:val="NoSpacingChar"/>
    <w:uiPriority w:val="1"/>
    <w:qFormat/>
    <w:rsid w:val="0030356F"/>
    <w:pPr>
      <w:spacing w:after="0" w:line="240" w:lineRule="auto"/>
    </w:pPr>
  </w:style>
  <w:style w:type="character" w:customStyle="1" w:styleId="Heading1Char">
    <w:name w:val="Heading 1 Char"/>
    <w:basedOn w:val="DefaultParagraphFont"/>
    <w:link w:val="Heading1"/>
    <w:uiPriority w:val="9"/>
    <w:rsid w:val="00B77F56"/>
    <w:rPr>
      <w:rFonts w:asciiTheme="majorHAnsi" w:eastAsiaTheme="majorEastAsia" w:hAnsiTheme="majorHAnsi" w:cstheme="majorBidi"/>
      <w:b/>
      <w:bCs/>
      <w:color w:val="00437F"/>
      <w:sz w:val="36"/>
      <w:szCs w:val="28"/>
    </w:rPr>
  </w:style>
  <w:style w:type="character" w:customStyle="1" w:styleId="Heading2Char">
    <w:name w:val="Heading 2 Char"/>
    <w:basedOn w:val="DefaultParagraphFont"/>
    <w:link w:val="Heading2"/>
    <w:uiPriority w:val="9"/>
    <w:rsid w:val="00F239B3"/>
    <w:rPr>
      <w:rFonts w:asciiTheme="majorHAnsi" w:eastAsiaTheme="majorEastAsia" w:hAnsiTheme="majorHAnsi" w:cstheme="majorBidi"/>
      <w:b/>
      <w:bCs/>
      <w:color w:val="00437F"/>
      <w:sz w:val="32"/>
      <w:szCs w:val="26"/>
    </w:rPr>
  </w:style>
  <w:style w:type="character" w:customStyle="1" w:styleId="Heading3Char">
    <w:name w:val="Heading 3 Char"/>
    <w:basedOn w:val="DefaultParagraphFont"/>
    <w:link w:val="Heading3"/>
    <w:uiPriority w:val="9"/>
    <w:rsid w:val="0030356F"/>
    <w:rPr>
      <w:rFonts w:asciiTheme="majorHAnsi" w:eastAsiaTheme="majorEastAsia" w:hAnsiTheme="majorHAnsi" w:cstheme="majorBidi"/>
      <w:b/>
      <w:bCs/>
      <w:color w:val="1CADE4" w:themeColor="accent1"/>
    </w:rPr>
  </w:style>
  <w:style w:type="character" w:customStyle="1" w:styleId="Heading4Char">
    <w:name w:val="Heading 4 Char"/>
    <w:basedOn w:val="DefaultParagraphFont"/>
    <w:link w:val="Heading4"/>
    <w:uiPriority w:val="9"/>
    <w:semiHidden/>
    <w:rsid w:val="0030356F"/>
    <w:rPr>
      <w:rFonts w:asciiTheme="majorHAnsi" w:eastAsiaTheme="majorEastAsia" w:hAnsiTheme="majorHAnsi" w:cstheme="majorBidi"/>
      <w:b/>
      <w:bCs/>
      <w:i/>
      <w:iCs/>
      <w:color w:val="1CADE4" w:themeColor="accent1"/>
    </w:rPr>
  </w:style>
  <w:style w:type="character" w:customStyle="1" w:styleId="Heading5Char">
    <w:name w:val="Heading 5 Char"/>
    <w:basedOn w:val="DefaultParagraphFont"/>
    <w:link w:val="Heading5"/>
    <w:uiPriority w:val="9"/>
    <w:semiHidden/>
    <w:rsid w:val="0030356F"/>
    <w:rPr>
      <w:rFonts w:asciiTheme="majorHAnsi" w:eastAsiaTheme="majorEastAsia" w:hAnsiTheme="majorHAnsi" w:cstheme="majorBidi"/>
      <w:color w:val="0D5571" w:themeColor="accent1" w:themeShade="7F"/>
    </w:rPr>
  </w:style>
  <w:style w:type="character" w:customStyle="1" w:styleId="Heading6Char">
    <w:name w:val="Heading 6 Char"/>
    <w:basedOn w:val="DefaultParagraphFont"/>
    <w:link w:val="Heading6"/>
    <w:uiPriority w:val="9"/>
    <w:semiHidden/>
    <w:rsid w:val="0030356F"/>
    <w:rPr>
      <w:rFonts w:asciiTheme="majorHAnsi" w:eastAsiaTheme="majorEastAsia" w:hAnsiTheme="majorHAnsi" w:cstheme="majorBidi"/>
      <w:i/>
      <w:iCs/>
      <w:color w:val="0D5571" w:themeColor="accent1" w:themeShade="7F"/>
    </w:rPr>
  </w:style>
  <w:style w:type="character" w:customStyle="1" w:styleId="Heading7Char">
    <w:name w:val="Heading 7 Char"/>
    <w:basedOn w:val="DefaultParagraphFont"/>
    <w:link w:val="Heading7"/>
    <w:uiPriority w:val="9"/>
    <w:semiHidden/>
    <w:rsid w:val="003035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356F"/>
    <w:rPr>
      <w:rFonts w:asciiTheme="majorHAnsi" w:eastAsiaTheme="majorEastAsia" w:hAnsiTheme="majorHAnsi" w:cstheme="majorBidi"/>
      <w:color w:val="1CADE4" w:themeColor="accent1"/>
      <w:sz w:val="20"/>
      <w:szCs w:val="20"/>
    </w:rPr>
  </w:style>
  <w:style w:type="character" w:customStyle="1" w:styleId="Heading9Char">
    <w:name w:val="Heading 9 Char"/>
    <w:basedOn w:val="DefaultParagraphFont"/>
    <w:link w:val="Heading9"/>
    <w:uiPriority w:val="9"/>
    <w:semiHidden/>
    <w:rsid w:val="003035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356F"/>
    <w:rPr>
      <w:b/>
      <w:bCs/>
      <w:color w:val="1CADE4" w:themeColor="accent1"/>
      <w:sz w:val="18"/>
      <w:szCs w:val="18"/>
    </w:rPr>
  </w:style>
  <w:style w:type="paragraph" w:styleId="Title">
    <w:name w:val="Title"/>
    <w:basedOn w:val="Normal"/>
    <w:next w:val="Normal"/>
    <w:link w:val="TitleChar"/>
    <w:uiPriority w:val="10"/>
    <w:qFormat/>
    <w:rsid w:val="00F239B3"/>
    <w:pPr>
      <w:pBdr>
        <w:bottom w:val="single" w:sz="8" w:space="4" w:color="1CADE4" w:themeColor="accent1"/>
      </w:pBdr>
      <w:spacing w:after="300" w:line="360" w:lineRule="auto"/>
      <w:contextualSpacing/>
    </w:pPr>
    <w:rPr>
      <w:rFonts w:asciiTheme="majorHAnsi" w:eastAsiaTheme="majorEastAsia" w:hAnsiTheme="majorHAnsi" w:cstheme="majorBidi"/>
      <w:color w:val="264356" w:themeColor="text2" w:themeShade="BF"/>
      <w:spacing w:val="5"/>
      <w:kern w:val="28"/>
      <w:sz w:val="52"/>
      <w:szCs w:val="52"/>
      <w:lang w:val="en-GB"/>
    </w:rPr>
  </w:style>
  <w:style w:type="character" w:customStyle="1" w:styleId="TitleChar">
    <w:name w:val="Title Char"/>
    <w:basedOn w:val="DefaultParagraphFont"/>
    <w:link w:val="Title"/>
    <w:uiPriority w:val="10"/>
    <w:rsid w:val="00F239B3"/>
    <w:rPr>
      <w:rFonts w:asciiTheme="majorHAnsi" w:eastAsiaTheme="majorEastAsia" w:hAnsiTheme="majorHAnsi" w:cstheme="majorBidi"/>
      <w:color w:val="264356" w:themeColor="text2" w:themeShade="BF"/>
      <w:spacing w:val="5"/>
      <w:kern w:val="28"/>
      <w:sz w:val="52"/>
      <w:szCs w:val="52"/>
    </w:rPr>
  </w:style>
  <w:style w:type="paragraph" w:styleId="Subtitle">
    <w:name w:val="Subtitle"/>
    <w:basedOn w:val="Normal"/>
    <w:next w:val="Normal"/>
    <w:link w:val="SubtitleChar"/>
    <w:uiPriority w:val="11"/>
    <w:qFormat/>
    <w:rsid w:val="0030356F"/>
    <w:pPr>
      <w:numPr>
        <w:ilvl w:val="1"/>
      </w:numPr>
      <w:spacing w:after="200" w:line="276" w:lineRule="auto"/>
    </w:pPr>
    <w:rPr>
      <w:rFonts w:asciiTheme="majorHAnsi" w:eastAsiaTheme="majorEastAsia" w:hAnsiTheme="majorHAnsi" w:cstheme="majorBidi"/>
      <w:i/>
      <w:iCs/>
      <w:color w:val="1CADE4" w:themeColor="accent1"/>
      <w:spacing w:val="15"/>
      <w:lang w:val="en-GB"/>
    </w:rPr>
  </w:style>
  <w:style w:type="character" w:customStyle="1" w:styleId="SubtitleChar">
    <w:name w:val="Subtitle Char"/>
    <w:basedOn w:val="DefaultParagraphFont"/>
    <w:link w:val="Subtitle"/>
    <w:uiPriority w:val="11"/>
    <w:rsid w:val="0030356F"/>
    <w:rPr>
      <w:rFonts w:asciiTheme="majorHAnsi" w:eastAsiaTheme="majorEastAsia" w:hAnsiTheme="majorHAnsi" w:cstheme="majorBidi"/>
      <w:i/>
      <w:iCs/>
      <w:color w:val="1CADE4" w:themeColor="accent1"/>
      <w:spacing w:val="15"/>
      <w:sz w:val="24"/>
      <w:szCs w:val="24"/>
    </w:rPr>
  </w:style>
  <w:style w:type="character" w:styleId="Strong">
    <w:name w:val="Strong"/>
    <w:basedOn w:val="DefaultParagraphFont"/>
    <w:uiPriority w:val="22"/>
    <w:qFormat/>
    <w:rsid w:val="0030356F"/>
    <w:rPr>
      <w:b/>
      <w:bCs/>
    </w:rPr>
  </w:style>
  <w:style w:type="character" w:styleId="Emphasis">
    <w:name w:val="Emphasis"/>
    <w:basedOn w:val="DefaultParagraphFont"/>
    <w:uiPriority w:val="20"/>
    <w:qFormat/>
    <w:rsid w:val="0030356F"/>
    <w:rPr>
      <w:i/>
      <w:iCs/>
    </w:rPr>
  </w:style>
  <w:style w:type="character" w:customStyle="1" w:styleId="NoSpacingChar">
    <w:name w:val="No Spacing Char"/>
    <w:basedOn w:val="DefaultParagraphFont"/>
    <w:link w:val="NoSpacing"/>
    <w:uiPriority w:val="1"/>
    <w:rsid w:val="0030356F"/>
  </w:style>
  <w:style w:type="paragraph" w:styleId="Quote">
    <w:name w:val="Quote"/>
    <w:basedOn w:val="Normal"/>
    <w:next w:val="Normal"/>
    <w:link w:val="QuoteChar"/>
    <w:uiPriority w:val="29"/>
    <w:qFormat/>
    <w:rsid w:val="0030356F"/>
    <w:pPr>
      <w:spacing w:after="200" w:line="276" w:lineRule="auto"/>
    </w:pPr>
    <w:rPr>
      <w:rFonts w:asciiTheme="minorHAnsi" w:eastAsiaTheme="minorEastAsia"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30356F"/>
    <w:rPr>
      <w:i/>
      <w:iCs/>
      <w:color w:val="000000" w:themeColor="text1"/>
    </w:rPr>
  </w:style>
  <w:style w:type="paragraph" w:styleId="IntenseQuote">
    <w:name w:val="Intense Quote"/>
    <w:basedOn w:val="Normal"/>
    <w:next w:val="Normal"/>
    <w:link w:val="IntenseQuoteChar"/>
    <w:uiPriority w:val="30"/>
    <w:qFormat/>
    <w:rsid w:val="0030356F"/>
    <w:pPr>
      <w:pBdr>
        <w:bottom w:val="single" w:sz="4" w:space="4" w:color="1CADE4" w:themeColor="accent1"/>
      </w:pBdr>
      <w:spacing w:before="200" w:after="280" w:line="276" w:lineRule="auto"/>
      <w:ind w:left="936" w:right="936"/>
    </w:pPr>
    <w:rPr>
      <w:rFonts w:asciiTheme="minorHAnsi" w:eastAsiaTheme="minorEastAsia" w:hAnsiTheme="minorHAnsi" w:cstheme="minorBidi"/>
      <w:b/>
      <w:bCs/>
      <w:i/>
      <w:iCs/>
      <w:color w:val="1CADE4" w:themeColor="accent1"/>
      <w:sz w:val="22"/>
      <w:szCs w:val="22"/>
      <w:lang w:val="en-GB"/>
    </w:rPr>
  </w:style>
  <w:style w:type="character" w:customStyle="1" w:styleId="IntenseQuoteChar">
    <w:name w:val="Intense Quote Char"/>
    <w:basedOn w:val="DefaultParagraphFont"/>
    <w:link w:val="IntenseQuote"/>
    <w:uiPriority w:val="30"/>
    <w:rsid w:val="0030356F"/>
    <w:rPr>
      <w:b/>
      <w:bCs/>
      <w:i/>
      <w:iCs/>
      <w:color w:val="1CADE4" w:themeColor="accent1"/>
    </w:rPr>
  </w:style>
  <w:style w:type="character" w:styleId="SubtleEmphasis">
    <w:name w:val="Subtle Emphasis"/>
    <w:basedOn w:val="DefaultParagraphFont"/>
    <w:uiPriority w:val="19"/>
    <w:qFormat/>
    <w:rsid w:val="0030356F"/>
    <w:rPr>
      <w:i/>
      <w:iCs/>
      <w:color w:val="808080" w:themeColor="text1" w:themeTint="7F"/>
    </w:rPr>
  </w:style>
  <w:style w:type="character" w:styleId="IntenseEmphasis">
    <w:name w:val="Intense Emphasis"/>
    <w:basedOn w:val="DefaultParagraphFont"/>
    <w:uiPriority w:val="21"/>
    <w:qFormat/>
    <w:rsid w:val="0030356F"/>
    <w:rPr>
      <w:b/>
      <w:bCs/>
      <w:i/>
      <w:iCs/>
      <w:color w:val="1CADE4" w:themeColor="accent1"/>
    </w:rPr>
  </w:style>
  <w:style w:type="character" w:styleId="SubtleReference">
    <w:name w:val="Subtle Reference"/>
    <w:basedOn w:val="DefaultParagraphFont"/>
    <w:uiPriority w:val="31"/>
    <w:qFormat/>
    <w:rsid w:val="0030356F"/>
    <w:rPr>
      <w:smallCaps/>
      <w:color w:val="2683C6" w:themeColor="accent2"/>
      <w:u w:val="single"/>
    </w:rPr>
  </w:style>
  <w:style w:type="character" w:styleId="IntenseReference">
    <w:name w:val="Intense Reference"/>
    <w:basedOn w:val="DefaultParagraphFont"/>
    <w:uiPriority w:val="32"/>
    <w:qFormat/>
    <w:rsid w:val="0030356F"/>
    <w:rPr>
      <w:b/>
      <w:bCs/>
      <w:smallCaps/>
      <w:color w:val="2683C6" w:themeColor="accent2"/>
      <w:spacing w:val="5"/>
      <w:u w:val="single"/>
    </w:rPr>
  </w:style>
  <w:style w:type="character" w:styleId="BookTitle">
    <w:name w:val="Book Title"/>
    <w:basedOn w:val="DefaultParagraphFont"/>
    <w:uiPriority w:val="33"/>
    <w:qFormat/>
    <w:rsid w:val="0030356F"/>
    <w:rPr>
      <w:b/>
      <w:bCs/>
      <w:smallCaps/>
      <w:spacing w:val="5"/>
    </w:rPr>
  </w:style>
  <w:style w:type="paragraph" w:styleId="TOCHeading">
    <w:name w:val="TOC Heading"/>
    <w:basedOn w:val="Heading1"/>
    <w:next w:val="Normal"/>
    <w:uiPriority w:val="39"/>
    <w:semiHidden/>
    <w:unhideWhenUsed/>
    <w:qFormat/>
    <w:rsid w:val="0030356F"/>
    <w:pPr>
      <w:outlineLvl w:val="9"/>
    </w:pPr>
  </w:style>
  <w:style w:type="paragraph" w:customStyle="1" w:styleId="PersonalName">
    <w:name w:val="Personal Name"/>
    <w:basedOn w:val="Title"/>
    <w:rsid w:val="0030356F"/>
    <w:rPr>
      <w:b/>
      <w:caps/>
      <w:color w:val="000000"/>
      <w:sz w:val="28"/>
      <w:szCs w:val="28"/>
    </w:rPr>
  </w:style>
  <w:style w:type="character" w:styleId="FollowedHyperlink">
    <w:name w:val="FollowedHyperlink"/>
    <w:basedOn w:val="DefaultParagraphFont"/>
    <w:uiPriority w:val="99"/>
    <w:semiHidden/>
    <w:unhideWhenUsed/>
    <w:rsid w:val="00EB2946"/>
    <w:rPr>
      <w:color w:val="B26B02" w:themeColor="followedHyperlink"/>
      <w:u w:val="single"/>
    </w:rPr>
  </w:style>
  <w:style w:type="paragraph" w:customStyle="1" w:styleId="A">
    <w:name w:val="A"/>
    <w:basedOn w:val="Normal"/>
    <w:qFormat/>
    <w:rsid w:val="00A50AB5"/>
    <w:pPr>
      <w:spacing w:after="200"/>
    </w:pPr>
    <w:rPr>
      <w:rFonts w:ascii="Calibri Light" w:eastAsiaTheme="minorEastAsia" w:hAnsi="Calibri Light" w:cstheme="minorBidi"/>
      <w:color w:val="00183D"/>
      <w:sz w:val="36"/>
      <w:szCs w:val="28"/>
      <w:lang w:val="en-GB"/>
    </w:rPr>
  </w:style>
  <w:style w:type="character" w:customStyle="1" w:styleId="UnresolvedMention1">
    <w:name w:val="Unresolved Mention1"/>
    <w:basedOn w:val="DefaultParagraphFont"/>
    <w:uiPriority w:val="99"/>
    <w:semiHidden/>
    <w:unhideWhenUsed/>
    <w:rsid w:val="00304561"/>
    <w:rPr>
      <w:color w:val="605E5C"/>
      <w:shd w:val="clear" w:color="auto" w:fill="E1DFDD"/>
    </w:rPr>
  </w:style>
  <w:style w:type="paragraph" w:customStyle="1" w:styleId="B">
    <w:name w:val="B"/>
    <w:qFormat/>
    <w:rsid w:val="00A765DA"/>
    <w:rPr>
      <w:rFonts w:ascii="Arial" w:hAnsi="Arial"/>
      <w:color w:val="00437F"/>
      <w:sz w:val="24"/>
      <w:szCs w:val="20"/>
    </w:rPr>
  </w:style>
  <w:style w:type="paragraph" w:customStyle="1" w:styleId="Copy">
    <w:name w:val="Copy"/>
    <w:basedOn w:val="Normal"/>
    <w:qFormat/>
    <w:rsid w:val="00A50AB5"/>
    <w:pPr>
      <w:spacing w:after="200"/>
    </w:pPr>
    <w:rPr>
      <w:rFonts w:ascii="Calibri Light" w:eastAsiaTheme="minorEastAsia" w:hAnsi="Calibri Light" w:cs="Arial"/>
      <w:color w:val="00183D"/>
      <w:sz w:val="21"/>
      <w:szCs w:val="20"/>
      <w:lang w:val="en-GB"/>
    </w:rPr>
  </w:style>
  <w:style w:type="paragraph" w:customStyle="1" w:styleId="Copy-bullets">
    <w:name w:val="Copy - bullets"/>
    <w:basedOn w:val="Copy"/>
    <w:qFormat/>
    <w:rsid w:val="0029079A"/>
    <w:pPr>
      <w:numPr>
        <w:numId w:val="13"/>
      </w:numPr>
    </w:pPr>
  </w:style>
  <w:style w:type="paragraph" w:customStyle="1" w:styleId="C">
    <w:name w:val="C"/>
    <w:basedOn w:val="B"/>
    <w:uiPriority w:val="99"/>
    <w:qFormat/>
    <w:rsid w:val="00A50AB5"/>
    <w:rPr>
      <w:rFonts w:ascii="Calibri" w:hAnsi="Calibri" w:cs="Arial"/>
      <w:b/>
      <w:bCs/>
      <w:color w:val="00183D"/>
      <w:sz w:val="28"/>
      <w:szCs w:val="24"/>
    </w:rPr>
  </w:style>
  <w:style w:type="paragraph" w:customStyle="1" w:styleId="quoteitalics">
    <w:name w:val="quote italics"/>
    <w:basedOn w:val="Copy"/>
    <w:qFormat/>
    <w:rsid w:val="005A5E31"/>
    <w:pPr>
      <w:spacing w:line="276" w:lineRule="auto"/>
    </w:pPr>
    <w:rPr>
      <w:i/>
      <w:iCs/>
      <w:color w:val="00437F"/>
    </w:rPr>
  </w:style>
  <w:style w:type="paragraph" w:customStyle="1" w:styleId="Quote-name">
    <w:name w:val="Quote - name"/>
    <w:basedOn w:val="Copy"/>
    <w:qFormat/>
    <w:rsid w:val="005A5E31"/>
    <w:rPr>
      <w:color w:val="00437F"/>
    </w:rPr>
  </w:style>
  <w:style w:type="paragraph" w:customStyle="1" w:styleId="copysmall">
    <w:name w:val="copy small"/>
    <w:basedOn w:val="Copy"/>
    <w:qFormat/>
    <w:rsid w:val="00564325"/>
    <w:pPr>
      <w:spacing w:line="288" w:lineRule="auto"/>
    </w:pPr>
    <w:rPr>
      <w:rFonts w:eastAsia="Arial"/>
      <w:color w:val="65757D" w:themeColor="background2" w:themeShade="80"/>
      <w:sz w:val="16"/>
      <w:szCs w:val="16"/>
      <w:shd w:val="clear" w:color="auto" w:fill="FFFFFF"/>
      <w:lang w:val="en-US"/>
    </w:rPr>
  </w:style>
  <w:style w:type="table" w:styleId="GridTable1Light-Accent1">
    <w:name w:val="Grid Table 1 Light Accent 1"/>
    <w:basedOn w:val="TableNormal"/>
    <w:uiPriority w:val="46"/>
    <w:rsid w:val="002238C1"/>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2238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7Colorful-Accent3">
    <w:name w:val="Grid Table 7 Colorful Accent 3"/>
    <w:basedOn w:val="TableNormal"/>
    <w:uiPriority w:val="52"/>
    <w:rsid w:val="002238C1"/>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leGrid">
    <w:name w:val="Table Grid"/>
    <w:basedOn w:val="TableNormal"/>
    <w:uiPriority w:val="39"/>
    <w:rsid w:val="0022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238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238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77599"/>
    <w:rPr>
      <w:sz w:val="18"/>
      <w:szCs w:val="18"/>
    </w:rPr>
  </w:style>
  <w:style w:type="character" w:customStyle="1" w:styleId="BalloonTextChar">
    <w:name w:val="Balloon Text Char"/>
    <w:basedOn w:val="DefaultParagraphFont"/>
    <w:link w:val="BalloonText"/>
    <w:uiPriority w:val="99"/>
    <w:semiHidden/>
    <w:rsid w:val="00777599"/>
    <w:rPr>
      <w:rFonts w:ascii="Times New Roman" w:hAnsi="Times New Roman" w:cs="Times New Roman"/>
      <w:sz w:val="18"/>
      <w:szCs w:val="18"/>
    </w:rPr>
  </w:style>
  <w:style w:type="character" w:styleId="PageNumber">
    <w:name w:val="page number"/>
    <w:basedOn w:val="DefaultParagraphFont"/>
    <w:uiPriority w:val="99"/>
    <w:semiHidden/>
    <w:unhideWhenUsed/>
    <w:rsid w:val="00903110"/>
  </w:style>
  <w:style w:type="paragraph" w:customStyle="1" w:styleId="Style1">
    <w:name w:val="Style1"/>
    <w:basedOn w:val="Header"/>
    <w:qFormat/>
    <w:rsid w:val="00257501"/>
    <w:pPr>
      <w:framePr w:w="2556" w:wrap="none" w:vAnchor="text" w:hAnchor="page" w:x="9229" w:y="1623"/>
      <w:spacing w:line="360" w:lineRule="auto"/>
    </w:pPr>
    <w:rPr>
      <w:rFonts w:ascii="Calibri" w:hAnsi="Calibri" w:cs="Arial"/>
      <w:color w:val="000000" w:themeColor="text1"/>
      <w:sz w:val="16"/>
      <w:szCs w:val="16"/>
      <w14:textFill>
        <w14:solidFill>
          <w14:schemeClr w14:val="tx1">
            <w14:lumMod w14:val="65000"/>
            <w14:lumOff w14:val="35000"/>
            <w14:lumMod w14:val="65000"/>
            <w14:lumOff w14:val="35000"/>
          </w14:schemeClr>
        </w14:solidFill>
      </w14:textFill>
    </w:rPr>
  </w:style>
  <w:style w:type="table" w:styleId="PlainTable5">
    <w:name w:val="Plain Table 5"/>
    <w:basedOn w:val="TableNormal"/>
    <w:uiPriority w:val="45"/>
    <w:rsid w:val="005F51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5F5128"/>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796FE1"/>
    <w:pPr>
      <w:spacing w:after="0" w:line="240" w:lineRule="auto"/>
    </w:pPr>
    <w:rPr>
      <w:rFonts w:ascii="Times New Roman" w:eastAsia="Times New Roman" w:hAnsi="Times New Roman" w:cs="Times New Roman"/>
      <w:sz w:val="24"/>
      <w:szCs w:val="24"/>
      <w:lang w:val="en-US"/>
    </w:rPr>
  </w:style>
  <w:style w:type="paragraph" w:customStyle="1" w:styleId="Level2heading">
    <w:name w:val="Level 2 heading"/>
    <w:basedOn w:val="Heading3"/>
    <w:link w:val="Level2headingChar"/>
    <w:qFormat/>
    <w:rsid w:val="00706032"/>
    <w:pPr>
      <w:keepLines w:val="0"/>
      <w:spacing w:before="0" w:after="120" w:line="288" w:lineRule="auto"/>
    </w:pPr>
    <w:rPr>
      <w:rFonts w:ascii="Arial" w:eastAsiaTheme="minorHAnsi" w:hAnsi="Arial" w:cs="Arial"/>
      <w:color w:val="000000" w:themeColor="text1"/>
      <w:sz w:val="24"/>
      <w:szCs w:val="24"/>
      <w:lang w:eastAsia="en-GB"/>
    </w:rPr>
  </w:style>
  <w:style w:type="character" w:customStyle="1" w:styleId="Level2headingChar">
    <w:name w:val="Level 2 heading Char"/>
    <w:basedOn w:val="DefaultParagraphFont"/>
    <w:link w:val="Level2heading"/>
    <w:rsid w:val="00706032"/>
    <w:rPr>
      <w:rFonts w:ascii="Arial" w:eastAsiaTheme="minorHAnsi" w:hAnsi="Arial" w:cs="Arial"/>
      <w:b/>
      <w:bCs/>
      <w:color w:val="000000" w:themeColor="text1"/>
      <w:sz w:val="24"/>
      <w:szCs w:val="24"/>
      <w:lang w:eastAsia="en-GB"/>
    </w:rPr>
  </w:style>
  <w:style w:type="paragraph" w:customStyle="1" w:styleId="msonormal0">
    <w:name w:val="msonormal"/>
    <w:basedOn w:val="Normal"/>
    <w:uiPriority w:val="99"/>
    <w:rsid w:val="00EA46B8"/>
    <w:pPr>
      <w:spacing w:before="100" w:beforeAutospacing="1" w:after="100" w:afterAutospacing="1"/>
    </w:pPr>
    <w:rPr>
      <w:lang w:val="el-GR" w:eastAsia="el-GR"/>
    </w:rPr>
  </w:style>
  <w:style w:type="table" w:customStyle="1" w:styleId="GridTable1Light-Accent11">
    <w:name w:val="Grid Table 1 Light - Accent 11"/>
    <w:basedOn w:val="TableNormal"/>
    <w:uiPriority w:val="46"/>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5Dark-Accent51">
    <w:name w:val="Grid Table 5 Dark - Accent 51"/>
    <w:basedOn w:val="TableNormal"/>
    <w:uiPriority w:val="50"/>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7Colorful-Accent31">
    <w:name w:val="Grid Table 7 Colorful - Accent 31"/>
    <w:basedOn w:val="TableNormal"/>
    <w:uiPriority w:val="52"/>
    <w:rsid w:val="00EA46B8"/>
    <w:pPr>
      <w:spacing w:after="0" w:line="240" w:lineRule="auto"/>
    </w:pPr>
    <w:rPr>
      <w:rFonts w:ascii="Calibri" w:eastAsia="Times New Roman" w:hAnsi="Calibri" w:cs="Times New Roman"/>
      <w:color w:val="76923C"/>
      <w:sz w:val="20"/>
      <w:szCs w:val="20"/>
      <w:lang w:eastAsia="en-GB"/>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PlainTable31">
    <w:name w:val="Plain Table 31"/>
    <w:basedOn w:val="TableNormal"/>
    <w:uiPriority w:val="43"/>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Pr>
    <w:tblStylePr w:type="firstRow">
      <w:rPr>
        <w:rFonts w:ascii="DengXian" w:eastAsia="Times New Roman" w:hAnsi="DengXian" w:cs="Times New Roman" w:hint="eastAsia"/>
        <w:i/>
        <w:iCs/>
        <w:sz w:val="26"/>
        <w:szCs w:val="26"/>
      </w:rPr>
      <w:tblPr/>
      <w:tcPr>
        <w:tcBorders>
          <w:bottom w:val="single" w:sz="4" w:space="0" w:color="7F7F7F"/>
        </w:tcBorders>
        <w:shd w:val="clear" w:color="auto" w:fill="FFFFFF"/>
      </w:tcPr>
    </w:tblStylePr>
    <w:tblStylePr w:type="lastRow">
      <w:rPr>
        <w:rFonts w:ascii="DengXian" w:eastAsia="Times New Roman" w:hAnsi="DengXian" w:cs="Times New Roman" w:hint="eastAsia"/>
        <w:i/>
        <w:iCs/>
        <w:sz w:val="26"/>
        <w:szCs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hint="eastAsia"/>
        <w:i/>
        <w:iCs/>
        <w:sz w:val="26"/>
        <w:szCs w:val="26"/>
      </w:rPr>
      <w:tblPr/>
      <w:tcPr>
        <w:tcBorders>
          <w:right w:val="single" w:sz="4" w:space="0" w:color="7F7F7F"/>
        </w:tcBorders>
        <w:shd w:val="clear" w:color="auto" w:fill="FFFFFF"/>
      </w:tcPr>
    </w:tblStylePr>
    <w:tblStylePr w:type="lastCol">
      <w:rPr>
        <w:rFonts w:ascii="DengXian" w:eastAsia="Times New Roman" w:hAnsi="DengXian" w:cs="Times New Roman" w:hint="eastAsia"/>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uiPriority w:val="46"/>
    <w:rsid w:val="00EA46B8"/>
    <w:pPr>
      <w:spacing w:after="0" w:line="240" w:lineRule="auto"/>
    </w:pPr>
    <w:rPr>
      <w:rFonts w:ascii="Calibri" w:eastAsia="Times New Roman" w:hAnsi="Calibri" w:cs="Times New Roman"/>
      <w:sz w:val="20"/>
      <w:szCs w:val="20"/>
      <w:lang w:eastAsia="en-GB"/>
    </w:rPr>
    <w:tblPr>
      <w:tblStyleRowBandSize w:val="1"/>
      <w:tblStyleColBandSize w:val="1"/>
      <w:tblInd w:w="0" w:type="nil"/>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D5563"/>
    <w:rPr>
      <w:color w:val="808080"/>
    </w:rPr>
  </w:style>
  <w:style w:type="paragraph" w:styleId="BodyText">
    <w:name w:val="Body Text"/>
    <w:basedOn w:val="Normal"/>
    <w:link w:val="BodyTextChar"/>
    <w:uiPriority w:val="1"/>
    <w:unhideWhenUsed/>
    <w:qFormat/>
    <w:rsid w:val="00BC5EBA"/>
    <w:pPr>
      <w:widowControl w:val="0"/>
      <w:ind w:left="100"/>
    </w:pPr>
    <w:rPr>
      <w:rFonts w:ascii="Calibri" w:eastAsia="Calibri" w:hAnsi="Calibri" w:cstheme="minorBidi"/>
      <w:sz w:val="21"/>
      <w:szCs w:val="21"/>
      <w:lang w:val="el-GR" w:eastAsia="el-GR" w:bidi="el-GR"/>
    </w:rPr>
  </w:style>
  <w:style w:type="character" w:customStyle="1" w:styleId="BodyTextChar">
    <w:name w:val="Body Text Char"/>
    <w:basedOn w:val="DefaultParagraphFont"/>
    <w:link w:val="BodyText"/>
    <w:uiPriority w:val="1"/>
    <w:rsid w:val="00BC5EBA"/>
    <w:rPr>
      <w:rFonts w:ascii="Calibri" w:eastAsia="Calibri" w:hAnsi="Calibri"/>
      <w:sz w:val="21"/>
      <w:szCs w:val="21"/>
      <w:lang w:val="el-GR" w:eastAsia="el-GR" w:bidi="el-GR"/>
    </w:rPr>
  </w:style>
  <w:style w:type="character" w:customStyle="1" w:styleId="normaltextrun">
    <w:name w:val="normaltextrun"/>
    <w:basedOn w:val="DefaultParagraphFont"/>
    <w:rsid w:val="004B1BCD"/>
  </w:style>
  <w:style w:type="character" w:styleId="CommentReference">
    <w:name w:val="annotation reference"/>
    <w:basedOn w:val="DefaultParagraphFont"/>
    <w:uiPriority w:val="99"/>
    <w:semiHidden/>
    <w:unhideWhenUsed/>
    <w:rsid w:val="00360729"/>
    <w:rPr>
      <w:sz w:val="16"/>
      <w:szCs w:val="16"/>
    </w:rPr>
  </w:style>
  <w:style w:type="paragraph" w:styleId="CommentText">
    <w:name w:val="annotation text"/>
    <w:basedOn w:val="Normal"/>
    <w:link w:val="CommentTextChar"/>
    <w:uiPriority w:val="99"/>
    <w:semiHidden/>
    <w:unhideWhenUsed/>
    <w:rsid w:val="00360729"/>
    <w:rPr>
      <w:sz w:val="20"/>
      <w:szCs w:val="20"/>
    </w:rPr>
  </w:style>
  <w:style w:type="character" w:customStyle="1" w:styleId="CommentTextChar">
    <w:name w:val="Comment Text Char"/>
    <w:basedOn w:val="DefaultParagraphFont"/>
    <w:link w:val="CommentText"/>
    <w:uiPriority w:val="99"/>
    <w:semiHidden/>
    <w:rsid w:val="0036072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0729"/>
    <w:rPr>
      <w:b/>
      <w:bCs/>
    </w:rPr>
  </w:style>
  <w:style w:type="character" w:customStyle="1" w:styleId="CommentSubjectChar">
    <w:name w:val="Comment Subject Char"/>
    <w:basedOn w:val="CommentTextChar"/>
    <w:link w:val="CommentSubject"/>
    <w:uiPriority w:val="99"/>
    <w:semiHidden/>
    <w:rsid w:val="003607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2199">
      <w:bodyDiv w:val="1"/>
      <w:marLeft w:val="0"/>
      <w:marRight w:val="0"/>
      <w:marTop w:val="0"/>
      <w:marBottom w:val="0"/>
      <w:divBdr>
        <w:top w:val="none" w:sz="0" w:space="0" w:color="auto"/>
        <w:left w:val="none" w:sz="0" w:space="0" w:color="auto"/>
        <w:bottom w:val="none" w:sz="0" w:space="0" w:color="auto"/>
        <w:right w:val="none" w:sz="0" w:space="0" w:color="auto"/>
      </w:divBdr>
    </w:div>
    <w:div w:id="59258096">
      <w:bodyDiv w:val="1"/>
      <w:marLeft w:val="0"/>
      <w:marRight w:val="0"/>
      <w:marTop w:val="0"/>
      <w:marBottom w:val="0"/>
      <w:divBdr>
        <w:top w:val="none" w:sz="0" w:space="0" w:color="auto"/>
        <w:left w:val="none" w:sz="0" w:space="0" w:color="auto"/>
        <w:bottom w:val="none" w:sz="0" w:space="0" w:color="auto"/>
        <w:right w:val="none" w:sz="0" w:space="0" w:color="auto"/>
      </w:divBdr>
    </w:div>
    <w:div w:id="62222159">
      <w:bodyDiv w:val="1"/>
      <w:marLeft w:val="0"/>
      <w:marRight w:val="0"/>
      <w:marTop w:val="0"/>
      <w:marBottom w:val="0"/>
      <w:divBdr>
        <w:top w:val="none" w:sz="0" w:space="0" w:color="auto"/>
        <w:left w:val="none" w:sz="0" w:space="0" w:color="auto"/>
        <w:bottom w:val="none" w:sz="0" w:space="0" w:color="auto"/>
        <w:right w:val="none" w:sz="0" w:space="0" w:color="auto"/>
      </w:divBdr>
    </w:div>
    <w:div w:id="137723402">
      <w:bodyDiv w:val="1"/>
      <w:marLeft w:val="0"/>
      <w:marRight w:val="0"/>
      <w:marTop w:val="0"/>
      <w:marBottom w:val="0"/>
      <w:divBdr>
        <w:top w:val="none" w:sz="0" w:space="0" w:color="auto"/>
        <w:left w:val="none" w:sz="0" w:space="0" w:color="auto"/>
        <w:bottom w:val="none" w:sz="0" w:space="0" w:color="auto"/>
        <w:right w:val="none" w:sz="0" w:space="0" w:color="auto"/>
      </w:divBdr>
    </w:div>
    <w:div w:id="140315860">
      <w:bodyDiv w:val="1"/>
      <w:marLeft w:val="0"/>
      <w:marRight w:val="0"/>
      <w:marTop w:val="0"/>
      <w:marBottom w:val="0"/>
      <w:divBdr>
        <w:top w:val="none" w:sz="0" w:space="0" w:color="auto"/>
        <w:left w:val="none" w:sz="0" w:space="0" w:color="auto"/>
        <w:bottom w:val="none" w:sz="0" w:space="0" w:color="auto"/>
        <w:right w:val="none" w:sz="0" w:space="0" w:color="auto"/>
      </w:divBdr>
    </w:div>
    <w:div w:id="143669111">
      <w:bodyDiv w:val="1"/>
      <w:marLeft w:val="0"/>
      <w:marRight w:val="0"/>
      <w:marTop w:val="0"/>
      <w:marBottom w:val="0"/>
      <w:divBdr>
        <w:top w:val="none" w:sz="0" w:space="0" w:color="auto"/>
        <w:left w:val="none" w:sz="0" w:space="0" w:color="auto"/>
        <w:bottom w:val="none" w:sz="0" w:space="0" w:color="auto"/>
        <w:right w:val="none" w:sz="0" w:space="0" w:color="auto"/>
      </w:divBdr>
    </w:div>
    <w:div w:id="167908118">
      <w:bodyDiv w:val="1"/>
      <w:marLeft w:val="0"/>
      <w:marRight w:val="0"/>
      <w:marTop w:val="0"/>
      <w:marBottom w:val="0"/>
      <w:divBdr>
        <w:top w:val="none" w:sz="0" w:space="0" w:color="auto"/>
        <w:left w:val="none" w:sz="0" w:space="0" w:color="auto"/>
        <w:bottom w:val="none" w:sz="0" w:space="0" w:color="auto"/>
        <w:right w:val="none" w:sz="0" w:space="0" w:color="auto"/>
      </w:divBdr>
    </w:div>
    <w:div w:id="167985721">
      <w:bodyDiv w:val="1"/>
      <w:marLeft w:val="0"/>
      <w:marRight w:val="0"/>
      <w:marTop w:val="0"/>
      <w:marBottom w:val="0"/>
      <w:divBdr>
        <w:top w:val="none" w:sz="0" w:space="0" w:color="auto"/>
        <w:left w:val="none" w:sz="0" w:space="0" w:color="auto"/>
        <w:bottom w:val="none" w:sz="0" w:space="0" w:color="auto"/>
        <w:right w:val="none" w:sz="0" w:space="0" w:color="auto"/>
      </w:divBdr>
    </w:div>
    <w:div w:id="188031302">
      <w:bodyDiv w:val="1"/>
      <w:marLeft w:val="0"/>
      <w:marRight w:val="0"/>
      <w:marTop w:val="0"/>
      <w:marBottom w:val="0"/>
      <w:divBdr>
        <w:top w:val="none" w:sz="0" w:space="0" w:color="auto"/>
        <w:left w:val="none" w:sz="0" w:space="0" w:color="auto"/>
        <w:bottom w:val="none" w:sz="0" w:space="0" w:color="auto"/>
        <w:right w:val="none" w:sz="0" w:space="0" w:color="auto"/>
      </w:divBdr>
    </w:div>
    <w:div w:id="223220429">
      <w:bodyDiv w:val="1"/>
      <w:marLeft w:val="0"/>
      <w:marRight w:val="0"/>
      <w:marTop w:val="0"/>
      <w:marBottom w:val="0"/>
      <w:divBdr>
        <w:top w:val="none" w:sz="0" w:space="0" w:color="auto"/>
        <w:left w:val="none" w:sz="0" w:space="0" w:color="auto"/>
        <w:bottom w:val="none" w:sz="0" w:space="0" w:color="auto"/>
        <w:right w:val="none" w:sz="0" w:space="0" w:color="auto"/>
      </w:divBdr>
    </w:div>
    <w:div w:id="247227583">
      <w:bodyDiv w:val="1"/>
      <w:marLeft w:val="0"/>
      <w:marRight w:val="0"/>
      <w:marTop w:val="0"/>
      <w:marBottom w:val="0"/>
      <w:divBdr>
        <w:top w:val="none" w:sz="0" w:space="0" w:color="auto"/>
        <w:left w:val="none" w:sz="0" w:space="0" w:color="auto"/>
        <w:bottom w:val="none" w:sz="0" w:space="0" w:color="auto"/>
        <w:right w:val="none" w:sz="0" w:space="0" w:color="auto"/>
      </w:divBdr>
    </w:div>
    <w:div w:id="250818840">
      <w:bodyDiv w:val="1"/>
      <w:marLeft w:val="0"/>
      <w:marRight w:val="0"/>
      <w:marTop w:val="0"/>
      <w:marBottom w:val="0"/>
      <w:divBdr>
        <w:top w:val="none" w:sz="0" w:space="0" w:color="auto"/>
        <w:left w:val="none" w:sz="0" w:space="0" w:color="auto"/>
        <w:bottom w:val="none" w:sz="0" w:space="0" w:color="auto"/>
        <w:right w:val="none" w:sz="0" w:space="0" w:color="auto"/>
      </w:divBdr>
      <w:divsChild>
        <w:div w:id="1042904612">
          <w:marLeft w:val="446"/>
          <w:marRight w:val="0"/>
          <w:marTop w:val="0"/>
          <w:marBottom w:val="140"/>
          <w:divBdr>
            <w:top w:val="none" w:sz="0" w:space="0" w:color="auto"/>
            <w:left w:val="none" w:sz="0" w:space="0" w:color="auto"/>
            <w:bottom w:val="none" w:sz="0" w:space="0" w:color="auto"/>
            <w:right w:val="none" w:sz="0" w:space="0" w:color="auto"/>
          </w:divBdr>
        </w:div>
        <w:div w:id="120150037">
          <w:marLeft w:val="446"/>
          <w:marRight w:val="0"/>
          <w:marTop w:val="0"/>
          <w:marBottom w:val="140"/>
          <w:divBdr>
            <w:top w:val="none" w:sz="0" w:space="0" w:color="auto"/>
            <w:left w:val="none" w:sz="0" w:space="0" w:color="auto"/>
            <w:bottom w:val="none" w:sz="0" w:space="0" w:color="auto"/>
            <w:right w:val="none" w:sz="0" w:space="0" w:color="auto"/>
          </w:divBdr>
        </w:div>
        <w:div w:id="1268342589">
          <w:marLeft w:val="446"/>
          <w:marRight w:val="0"/>
          <w:marTop w:val="0"/>
          <w:marBottom w:val="140"/>
          <w:divBdr>
            <w:top w:val="none" w:sz="0" w:space="0" w:color="auto"/>
            <w:left w:val="none" w:sz="0" w:space="0" w:color="auto"/>
            <w:bottom w:val="none" w:sz="0" w:space="0" w:color="auto"/>
            <w:right w:val="none" w:sz="0" w:space="0" w:color="auto"/>
          </w:divBdr>
        </w:div>
        <w:div w:id="1750468369">
          <w:marLeft w:val="446"/>
          <w:marRight w:val="0"/>
          <w:marTop w:val="0"/>
          <w:marBottom w:val="140"/>
          <w:divBdr>
            <w:top w:val="none" w:sz="0" w:space="0" w:color="auto"/>
            <w:left w:val="none" w:sz="0" w:space="0" w:color="auto"/>
            <w:bottom w:val="none" w:sz="0" w:space="0" w:color="auto"/>
            <w:right w:val="none" w:sz="0" w:space="0" w:color="auto"/>
          </w:divBdr>
        </w:div>
        <w:div w:id="1757049445">
          <w:marLeft w:val="446"/>
          <w:marRight w:val="0"/>
          <w:marTop w:val="0"/>
          <w:marBottom w:val="140"/>
          <w:divBdr>
            <w:top w:val="none" w:sz="0" w:space="0" w:color="auto"/>
            <w:left w:val="none" w:sz="0" w:space="0" w:color="auto"/>
            <w:bottom w:val="none" w:sz="0" w:space="0" w:color="auto"/>
            <w:right w:val="none" w:sz="0" w:space="0" w:color="auto"/>
          </w:divBdr>
        </w:div>
        <w:div w:id="1808742844">
          <w:marLeft w:val="446"/>
          <w:marRight w:val="0"/>
          <w:marTop w:val="0"/>
          <w:marBottom w:val="140"/>
          <w:divBdr>
            <w:top w:val="none" w:sz="0" w:space="0" w:color="auto"/>
            <w:left w:val="none" w:sz="0" w:space="0" w:color="auto"/>
            <w:bottom w:val="none" w:sz="0" w:space="0" w:color="auto"/>
            <w:right w:val="none" w:sz="0" w:space="0" w:color="auto"/>
          </w:divBdr>
        </w:div>
        <w:div w:id="311913636">
          <w:marLeft w:val="446"/>
          <w:marRight w:val="0"/>
          <w:marTop w:val="0"/>
          <w:marBottom w:val="140"/>
          <w:divBdr>
            <w:top w:val="none" w:sz="0" w:space="0" w:color="auto"/>
            <w:left w:val="none" w:sz="0" w:space="0" w:color="auto"/>
            <w:bottom w:val="none" w:sz="0" w:space="0" w:color="auto"/>
            <w:right w:val="none" w:sz="0" w:space="0" w:color="auto"/>
          </w:divBdr>
        </w:div>
        <w:div w:id="837814961">
          <w:marLeft w:val="446"/>
          <w:marRight w:val="0"/>
          <w:marTop w:val="0"/>
          <w:marBottom w:val="140"/>
          <w:divBdr>
            <w:top w:val="none" w:sz="0" w:space="0" w:color="auto"/>
            <w:left w:val="none" w:sz="0" w:space="0" w:color="auto"/>
            <w:bottom w:val="none" w:sz="0" w:space="0" w:color="auto"/>
            <w:right w:val="none" w:sz="0" w:space="0" w:color="auto"/>
          </w:divBdr>
        </w:div>
        <w:div w:id="766386923">
          <w:marLeft w:val="446"/>
          <w:marRight w:val="0"/>
          <w:marTop w:val="0"/>
          <w:marBottom w:val="140"/>
          <w:divBdr>
            <w:top w:val="none" w:sz="0" w:space="0" w:color="auto"/>
            <w:left w:val="none" w:sz="0" w:space="0" w:color="auto"/>
            <w:bottom w:val="none" w:sz="0" w:space="0" w:color="auto"/>
            <w:right w:val="none" w:sz="0" w:space="0" w:color="auto"/>
          </w:divBdr>
        </w:div>
        <w:div w:id="1444421631">
          <w:marLeft w:val="446"/>
          <w:marRight w:val="0"/>
          <w:marTop w:val="0"/>
          <w:marBottom w:val="140"/>
          <w:divBdr>
            <w:top w:val="none" w:sz="0" w:space="0" w:color="auto"/>
            <w:left w:val="none" w:sz="0" w:space="0" w:color="auto"/>
            <w:bottom w:val="none" w:sz="0" w:space="0" w:color="auto"/>
            <w:right w:val="none" w:sz="0" w:space="0" w:color="auto"/>
          </w:divBdr>
        </w:div>
      </w:divsChild>
    </w:div>
    <w:div w:id="265575768">
      <w:bodyDiv w:val="1"/>
      <w:marLeft w:val="0"/>
      <w:marRight w:val="0"/>
      <w:marTop w:val="0"/>
      <w:marBottom w:val="0"/>
      <w:divBdr>
        <w:top w:val="none" w:sz="0" w:space="0" w:color="auto"/>
        <w:left w:val="none" w:sz="0" w:space="0" w:color="auto"/>
        <w:bottom w:val="none" w:sz="0" w:space="0" w:color="auto"/>
        <w:right w:val="none" w:sz="0" w:space="0" w:color="auto"/>
      </w:divBdr>
    </w:div>
    <w:div w:id="285428207">
      <w:bodyDiv w:val="1"/>
      <w:marLeft w:val="0"/>
      <w:marRight w:val="0"/>
      <w:marTop w:val="0"/>
      <w:marBottom w:val="0"/>
      <w:divBdr>
        <w:top w:val="none" w:sz="0" w:space="0" w:color="auto"/>
        <w:left w:val="none" w:sz="0" w:space="0" w:color="auto"/>
        <w:bottom w:val="none" w:sz="0" w:space="0" w:color="auto"/>
        <w:right w:val="none" w:sz="0" w:space="0" w:color="auto"/>
      </w:divBdr>
    </w:div>
    <w:div w:id="317852791">
      <w:bodyDiv w:val="1"/>
      <w:marLeft w:val="0"/>
      <w:marRight w:val="0"/>
      <w:marTop w:val="0"/>
      <w:marBottom w:val="0"/>
      <w:divBdr>
        <w:top w:val="none" w:sz="0" w:space="0" w:color="auto"/>
        <w:left w:val="none" w:sz="0" w:space="0" w:color="auto"/>
        <w:bottom w:val="none" w:sz="0" w:space="0" w:color="auto"/>
        <w:right w:val="none" w:sz="0" w:space="0" w:color="auto"/>
      </w:divBdr>
    </w:div>
    <w:div w:id="354579808">
      <w:bodyDiv w:val="1"/>
      <w:marLeft w:val="0"/>
      <w:marRight w:val="0"/>
      <w:marTop w:val="0"/>
      <w:marBottom w:val="0"/>
      <w:divBdr>
        <w:top w:val="none" w:sz="0" w:space="0" w:color="auto"/>
        <w:left w:val="none" w:sz="0" w:space="0" w:color="auto"/>
        <w:bottom w:val="none" w:sz="0" w:space="0" w:color="auto"/>
        <w:right w:val="none" w:sz="0" w:space="0" w:color="auto"/>
      </w:divBdr>
    </w:div>
    <w:div w:id="354698818">
      <w:bodyDiv w:val="1"/>
      <w:marLeft w:val="0"/>
      <w:marRight w:val="0"/>
      <w:marTop w:val="0"/>
      <w:marBottom w:val="0"/>
      <w:divBdr>
        <w:top w:val="none" w:sz="0" w:space="0" w:color="auto"/>
        <w:left w:val="none" w:sz="0" w:space="0" w:color="auto"/>
        <w:bottom w:val="none" w:sz="0" w:space="0" w:color="auto"/>
        <w:right w:val="none" w:sz="0" w:space="0" w:color="auto"/>
      </w:divBdr>
    </w:div>
    <w:div w:id="365837648">
      <w:bodyDiv w:val="1"/>
      <w:marLeft w:val="0"/>
      <w:marRight w:val="0"/>
      <w:marTop w:val="0"/>
      <w:marBottom w:val="0"/>
      <w:divBdr>
        <w:top w:val="none" w:sz="0" w:space="0" w:color="auto"/>
        <w:left w:val="none" w:sz="0" w:space="0" w:color="auto"/>
        <w:bottom w:val="none" w:sz="0" w:space="0" w:color="auto"/>
        <w:right w:val="none" w:sz="0" w:space="0" w:color="auto"/>
      </w:divBdr>
    </w:div>
    <w:div w:id="444689520">
      <w:bodyDiv w:val="1"/>
      <w:marLeft w:val="0"/>
      <w:marRight w:val="0"/>
      <w:marTop w:val="0"/>
      <w:marBottom w:val="0"/>
      <w:divBdr>
        <w:top w:val="none" w:sz="0" w:space="0" w:color="auto"/>
        <w:left w:val="none" w:sz="0" w:space="0" w:color="auto"/>
        <w:bottom w:val="none" w:sz="0" w:space="0" w:color="auto"/>
        <w:right w:val="none" w:sz="0" w:space="0" w:color="auto"/>
      </w:divBdr>
    </w:div>
    <w:div w:id="466364011">
      <w:bodyDiv w:val="1"/>
      <w:marLeft w:val="0"/>
      <w:marRight w:val="0"/>
      <w:marTop w:val="0"/>
      <w:marBottom w:val="0"/>
      <w:divBdr>
        <w:top w:val="none" w:sz="0" w:space="0" w:color="auto"/>
        <w:left w:val="none" w:sz="0" w:space="0" w:color="auto"/>
        <w:bottom w:val="none" w:sz="0" w:space="0" w:color="auto"/>
        <w:right w:val="none" w:sz="0" w:space="0" w:color="auto"/>
      </w:divBdr>
    </w:div>
    <w:div w:id="477504671">
      <w:bodyDiv w:val="1"/>
      <w:marLeft w:val="0"/>
      <w:marRight w:val="0"/>
      <w:marTop w:val="0"/>
      <w:marBottom w:val="0"/>
      <w:divBdr>
        <w:top w:val="none" w:sz="0" w:space="0" w:color="auto"/>
        <w:left w:val="none" w:sz="0" w:space="0" w:color="auto"/>
        <w:bottom w:val="none" w:sz="0" w:space="0" w:color="auto"/>
        <w:right w:val="none" w:sz="0" w:space="0" w:color="auto"/>
      </w:divBdr>
    </w:div>
    <w:div w:id="505483905">
      <w:bodyDiv w:val="1"/>
      <w:marLeft w:val="0"/>
      <w:marRight w:val="0"/>
      <w:marTop w:val="0"/>
      <w:marBottom w:val="0"/>
      <w:divBdr>
        <w:top w:val="none" w:sz="0" w:space="0" w:color="auto"/>
        <w:left w:val="none" w:sz="0" w:space="0" w:color="auto"/>
        <w:bottom w:val="none" w:sz="0" w:space="0" w:color="auto"/>
        <w:right w:val="none" w:sz="0" w:space="0" w:color="auto"/>
      </w:divBdr>
    </w:div>
    <w:div w:id="516971141">
      <w:bodyDiv w:val="1"/>
      <w:marLeft w:val="0"/>
      <w:marRight w:val="0"/>
      <w:marTop w:val="0"/>
      <w:marBottom w:val="0"/>
      <w:divBdr>
        <w:top w:val="none" w:sz="0" w:space="0" w:color="auto"/>
        <w:left w:val="none" w:sz="0" w:space="0" w:color="auto"/>
        <w:bottom w:val="none" w:sz="0" w:space="0" w:color="auto"/>
        <w:right w:val="none" w:sz="0" w:space="0" w:color="auto"/>
      </w:divBdr>
    </w:div>
    <w:div w:id="528907573">
      <w:bodyDiv w:val="1"/>
      <w:marLeft w:val="0"/>
      <w:marRight w:val="0"/>
      <w:marTop w:val="0"/>
      <w:marBottom w:val="0"/>
      <w:divBdr>
        <w:top w:val="none" w:sz="0" w:space="0" w:color="auto"/>
        <w:left w:val="none" w:sz="0" w:space="0" w:color="auto"/>
        <w:bottom w:val="none" w:sz="0" w:space="0" w:color="auto"/>
        <w:right w:val="none" w:sz="0" w:space="0" w:color="auto"/>
      </w:divBdr>
    </w:div>
    <w:div w:id="540363107">
      <w:bodyDiv w:val="1"/>
      <w:marLeft w:val="0"/>
      <w:marRight w:val="0"/>
      <w:marTop w:val="0"/>
      <w:marBottom w:val="0"/>
      <w:divBdr>
        <w:top w:val="none" w:sz="0" w:space="0" w:color="auto"/>
        <w:left w:val="none" w:sz="0" w:space="0" w:color="auto"/>
        <w:bottom w:val="none" w:sz="0" w:space="0" w:color="auto"/>
        <w:right w:val="none" w:sz="0" w:space="0" w:color="auto"/>
      </w:divBdr>
    </w:div>
    <w:div w:id="559705916">
      <w:bodyDiv w:val="1"/>
      <w:marLeft w:val="0"/>
      <w:marRight w:val="0"/>
      <w:marTop w:val="0"/>
      <w:marBottom w:val="0"/>
      <w:divBdr>
        <w:top w:val="none" w:sz="0" w:space="0" w:color="auto"/>
        <w:left w:val="none" w:sz="0" w:space="0" w:color="auto"/>
        <w:bottom w:val="none" w:sz="0" w:space="0" w:color="auto"/>
        <w:right w:val="none" w:sz="0" w:space="0" w:color="auto"/>
      </w:divBdr>
    </w:div>
    <w:div w:id="572200063">
      <w:bodyDiv w:val="1"/>
      <w:marLeft w:val="0"/>
      <w:marRight w:val="0"/>
      <w:marTop w:val="0"/>
      <w:marBottom w:val="0"/>
      <w:divBdr>
        <w:top w:val="none" w:sz="0" w:space="0" w:color="auto"/>
        <w:left w:val="none" w:sz="0" w:space="0" w:color="auto"/>
        <w:bottom w:val="none" w:sz="0" w:space="0" w:color="auto"/>
        <w:right w:val="none" w:sz="0" w:space="0" w:color="auto"/>
      </w:divBdr>
    </w:div>
    <w:div w:id="635061545">
      <w:bodyDiv w:val="1"/>
      <w:marLeft w:val="0"/>
      <w:marRight w:val="0"/>
      <w:marTop w:val="0"/>
      <w:marBottom w:val="0"/>
      <w:divBdr>
        <w:top w:val="none" w:sz="0" w:space="0" w:color="auto"/>
        <w:left w:val="none" w:sz="0" w:space="0" w:color="auto"/>
        <w:bottom w:val="none" w:sz="0" w:space="0" w:color="auto"/>
        <w:right w:val="none" w:sz="0" w:space="0" w:color="auto"/>
      </w:divBdr>
    </w:div>
    <w:div w:id="699669714">
      <w:bodyDiv w:val="1"/>
      <w:marLeft w:val="0"/>
      <w:marRight w:val="0"/>
      <w:marTop w:val="0"/>
      <w:marBottom w:val="0"/>
      <w:divBdr>
        <w:top w:val="none" w:sz="0" w:space="0" w:color="auto"/>
        <w:left w:val="none" w:sz="0" w:space="0" w:color="auto"/>
        <w:bottom w:val="none" w:sz="0" w:space="0" w:color="auto"/>
        <w:right w:val="none" w:sz="0" w:space="0" w:color="auto"/>
      </w:divBdr>
    </w:div>
    <w:div w:id="749236374">
      <w:bodyDiv w:val="1"/>
      <w:marLeft w:val="0"/>
      <w:marRight w:val="0"/>
      <w:marTop w:val="0"/>
      <w:marBottom w:val="0"/>
      <w:divBdr>
        <w:top w:val="none" w:sz="0" w:space="0" w:color="auto"/>
        <w:left w:val="none" w:sz="0" w:space="0" w:color="auto"/>
        <w:bottom w:val="none" w:sz="0" w:space="0" w:color="auto"/>
        <w:right w:val="none" w:sz="0" w:space="0" w:color="auto"/>
      </w:divBdr>
    </w:div>
    <w:div w:id="751662347">
      <w:bodyDiv w:val="1"/>
      <w:marLeft w:val="0"/>
      <w:marRight w:val="0"/>
      <w:marTop w:val="0"/>
      <w:marBottom w:val="0"/>
      <w:divBdr>
        <w:top w:val="none" w:sz="0" w:space="0" w:color="auto"/>
        <w:left w:val="none" w:sz="0" w:space="0" w:color="auto"/>
        <w:bottom w:val="none" w:sz="0" w:space="0" w:color="auto"/>
        <w:right w:val="none" w:sz="0" w:space="0" w:color="auto"/>
      </w:divBdr>
    </w:div>
    <w:div w:id="786700174">
      <w:bodyDiv w:val="1"/>
      <w:marLeft w:val="0"/>
      <w:marRight w:val="0"/>
      <w:marTop w:val="0"/>
      <w:marBottom w:val="0"/>
      <w:divBdr>
        <w:top w:val="none" w:sz="0" w:space="0" w:color="auto"/>
        <w:left w:val="none" w:sz="0" w:space="0" w:color="auto"/>
        <w:bottom w:val="none" w:sz="0" w:space="0" w:color="auto"/>
        <w:right w:val="none" w:sz="0" w:space="0" w:color="auto"/>
      </w:divBdr>
    </w:div>
    <w:div w:id="802388868">
      <w:bodyDiv w:val="1"/>
      <w:marLeft w:val="0"/>
      <w:marRight w:val="0"/>
      <w:marTop w:val="0"/>
      <w:marBottom w:val="0"/>
      <w:divBdr>
        <w:top w:val="none" w:sz="0" w:space="0" w:color="auto"/>
        <w:left w:val="none" w:sz="0" w:space="0" w:color="auto"/>
        <w:bottom w:val="none" w:sz="0" w:space="0" w:color="auto"/>
        <w:right w:val="none" w:sz="0" w:space="0" w:color="auto"/>
      </w:divBdr>
    </w:div>
    <w:div w:id="879979220">
      <w:bodyDiv w:val="1"/>
      <w:marLeft w:val="0"/>
      <w:marRight w:val="0"/>
      <w:marTop w:val="0"/>
      <w:marBottom w:val="0"/>
      <w:divBdr>
        <w:top w:val="none" w:sz="0" w:space="0" w:color="auto"/>
        <w:left w:val="none" w:sz="0" w:space="0" w:color="auto"/>
        <w:bottom w:val="none" w:sz="0" w:space="0" w:color="auto"/>
        <w:right w:val="none" w:sz="0" w:space="0" w:color="auto"/>
      </w:divBdr>
    </w:div>
    <w:div w:id="889537442">
      <w:bodyDiv w:val="1"/>
      <w:marLeft w:val="0"/>
      <w:marRight w:val="0"/>
      <w:marTop w:val="0"/>
      <w:marBottom w:val="0"/>
      <w:divBdr>
        <w:top w:val="none" w:sz="0" w:space="0" w:color="auto"/>
        <w:left w:val="none" w:sz="0" w:space="0" w:color="auto"/>
        <w:bottom w:val="none" w:sz="0" w:space="0" w:color="auto"/>
        <w:right w:val="none" w:sz="0" w:space="0" w:color="auto"/>
      </w:divBdr>
    </w:div>
    <w:div w:id="902061880">
      <w:bodyDiv w:val="1"/>
      <w:marLeft w:val="0"/>
      <w:marRight w:val="0"/>
      <w:marTop w:val="0"/>
      <w:marBottom w:val="0"/>
      <w:divBdr>
        <w:top w:val="none" w:sz="0" w:space="0" w:color="auto"/>
        <w:left w:val="none" w:sz="0" w:space="0" w:color="auto"/>
        <w:bottom w:val="none" w:sz="0" w:space="0" w:color="auto"/>
        <w:right w:val="none" w:sz="0" w:space="0" w:color="auto"/>
      </w:divBdr>
    </w:div>
    <w:div w:id="943149328">
      <w:bodyDiv w:val="1"/>
      <w:marLeft w:val="0"/>
      <w:marRight w:val="0"/>
      <w:marTop w:val="0"/>
      <w:marBottom w:val="0"/>
      <w:divBdr>
        <w:top w:val="none" w:sz="0" w:space="0" w:color="auto"/>
        <w:left w:val="none" w:sz="0" w:space="0" w:color="auto"/>
        <w:bottom w:val="none" w:sz="0" w:space="0" w:color="auto"/>
        <w:right w:val="none" w:sz="0" w:space="0" w:color="auto"/>
      </w:divBdr>
    </w:div>
    <w:div w:id="951133364">
      <w:bodyDiv w:val="1"/>
      <w:marLeft w:val="0"/>
      <w:marRight w:val="0"/>
      <w:marTop w:val="0"/>
      <w:marBottom w:val="0"/>
      <w:divBdr>
        <w:top w:val="none" w:sz="0" w:space="0" w:color="auto"/>
        <w:left w:val="none" w:sz="0" w:space="0" w:color="auto"/>
        <w:bottom w:val="none" w:sz="0" w:space="0" w:color="auto"/>
        <w:right w:val="none" w:sz="0" w:space="0" w:color="auto"/>
      </w:divBdr>
    </w:div>
    <w:div w:id="979698965">
      <w:bodyDiv w:val="1"/>
      <w:marLeft w:val="0"/>
      <w:marRight w:val="0"/>
      <w:marTop w:val="0"/>
      <w:marBottom w:val="0"/>
      <w:divBdr>
        <w:top w:val="none" w:sz="0" w:space="0" w:color="auto"/>
        <w:left w:val="none" w:sz="0" w:space="0" w:color="auto"/>
        <w:bottom w:val="none" w:sz="0" w:space="0" w:color="auto"/>
        <w:right w:val="none" w:sz="0" w:space="0" w:color="auto"/>
      </w:divBdr>
    </w:div>
    <w:div w:id="991713082">
      <w:bodyDiv w:val="1"/>
      <w:marLeft w:val="0"/>
      <w:marRight w:val="0"/>
      <w:marTop w:val="0"/>
      <w:marBottom w:val="0"/>
      <w:divBdr>
        <w:top w:val="none" w:sz="0" w:space="0" w:color="auto"/>
        <w:left w:val="none" w:sz="0" w:space="0" w:color="auto"/>
        <w:bottom w:val="none" w:sz="0" w:space="0" w:color="auto"/>
        <w:right w:val="none" w:sz="0" w:space="0" w:color="auto"/>
      </w:divBdr>
    </w:div>
    <w:div w:id="1024283065">
      <w:bodyDiv w:val="1"/>
      <w:marLeft w:val="0"/>
      <w:marRight w:val="0"/>
      <w:marTop w:val="0"/>
      <w:marBottom w:val="0"/>
      <w:divBdr>
        <w:top w:val="none" w:sz="0" w:space="0" w:color="auto"/>
        <w:left w:val="none" w:sz="0" w:space="0" w:color="auto"/>
        <w:bottom w:val="none" w:sz="0" w:space="0" w:color="auto"/>
        <w:right w:val="none" w:sz="0" w:space="0" w:color="auto"/>
      </w:divBdr>
    </w:div>
    <w:div w:id="1029841842">
      <w:bodyDiv w:val="1"/>
      <w:marLeft w:val="0"/>
      <w:marRight w:val="0"/>
      <w:marTop w:val="0"/>
      <w:marBottom w:val="0"/>
      <w:divBdr>
        <w:top w:val="none" w:sz="0" w:space="0" w:color="auto"/>
        <w:left w:val="none" w:sz="0" w:space="0" w:color="auto"/>
        <w:bottom w:val="none" w:sz="0" w:space="0" w:color="auto"/>
        <w:right w:val="none" w:sz="0" w:space="0" w:color="auto"/>
      </w:divBdr>
    </w:div>
    <w:div w:id="1038622522">
      <w:bodyDiv w:val="1"/>
      <w:marLeft w:val="0"/>
      <w:marRight w:val="0"/>
      <w:marTop w:val="0"/>
      <w:marBottom w:val="0"/>
      <w:divBdr>
        <w:top w:val="none" w:sz="0" w:space="0" w:color="auto"/>
        <w:left w:val="none" w:sz="0" w:space="0" w:color="auto"/>
        <w:bottom w:val="none" w:sz="0" w:space="0" w:color="auto"/>
        <w:right w:val="none" w:sz="0" w:space="0" w:color="auto"/>
      </w:divBdr>
    </w:div>
    <w:div w:id="1108892545">
      <w:bodyDiv w:val="1"/>
      <w:marLeft w:val="0"/>
      <w:marRight w:val="0"/>
      <w:marTop w:val="0"/>
      <w:marBottom w:val="0"/>
      <w:divBdr>
        <w:top w:val="none" w:sz="0" w:space="0" w:color="auto"/>
        <w:left w:val="none" w:sz="0" w:space="0" w:color="auto"/>
        <w:bottom w:val="none" w:sz="0" w:space="0" w:color="auto"/>
        <w:right w:val="none" w:sz="0" w:space="0" w:color="auto"/>
      </w:divBdr>
    </w:div>
    <w:div w:id="1150053894">
      <w:bodyDiv w:val="1"/>
      <w:marLeft w:val="0"/>
      <w:marRight w:val="0"/>
      <w:marTop w:val="0"/>
      <w:marBottom w:val="0"/>
      <w:divBdr>
        <w:top w:val="none" w:sz="0" w:space="0" w:color="auto"/>
        <w:left w:val="none" w:sz="0" w:space="0" w:color="auto"/>
        <w:bottom w:val="none" w:sz="0" w:space="0" w:color="auto"/>
        <w:right w:val="none" w:sz="0" w:space="0" w:color="auto"/>
      </w:divBdr>
    </w:div>
    <w:div w:id="1150903665">
      <w:bodyDiv w:val="1"/>
      <w:marLeft w:val="0"/>
      <w:marRight w:val="0"/>
      <w:marTop w:val="0"/>
      <w:marBottom w:val="0"/>
      <w:divBdr>
        <w:top w:val="none" w:sz="0" w:space="0" w:color="auto"/>
        <w:left w:val="none" w:sz="0" w:space="0" w:color="auto"/>
        <w:bottom w:val="none" w:sz="0" w:space="0" w:color="auto"/>
        <w:right w:val="none" w:sz="0" w:space="0" w:color="auto"/>
      </w:divBdr>
    </w:div>
    <w:div w:id="1190531556">
      <w:bodyDiv w:val="1"/>
      <w:marLeft w:val="0"/>
      <w:marRight w:val="0"/>
      <w:marTop w:val="0"/>
      <w:marBottom w:val="0"/>
      <w:divBdr>
        <w:top w:val="none" w:sz="0" w:space="0" w:color="auto"/>
        <w:left w:val="none" w:sz="0" w:space="0" w:color="auto"/>
        <w:bottom w:val="none" w:sz="0" w:space="0" w:color="auto"/>
        <w:right w:val="none" w:sz="0" w:space="0" w:color="auto"/>
      </w:divBdr>
    </w:div>
    <w:div w:id="1192914823">
      <w:bodyDiv w:val="1"/>
      <w:marLeft w:val="0"/>
      <w:marRight w:val="0"/>
      <w:marTop w:val="0"/>
      <w:marBottom w:val="0"/>
      <w:divBdr>
        <w:top w:val="none" w:sz="0" w:space="0" w:color="auto"/>
        <w:left w:val="none" w:sz="0" w:space="0" w:color="auto"/>
        <w:bottom w:val="none" w:sz="0" w:space="0" w:color="auto"/>
        <w:right w:val="none" w:sz="0" w:space="0" w:color="auto"/>
      </w:divBdr>
    </w:div>
    <w:div w:id="1328364319">
      <w:bodyDiv w:val="1"/>
      <w:marLeft w:val="0"/>
      <w:marRight w:val="0"/>
      <w:marTop w:val="0"/>
      <w:marBottom w:val="0"/>
      <w:divBdr>
        <w:top w:val="none" w:sz="0" w:space="0" w:color="auto"/>
        <w:left w:val="none" w:sz="0" w:space="0" w:color="auto"/>
        <w:bottom w:val="none" w:sz="0" w:space="0" w:color="auto"/>
        <w:right w:val="none" w:sz="0" w:space="0" w:color="auto"/>
      </w:divBdr>
    </w:div>
    <w:div w:id="1340546571">
      <w:bodyDiv w:val="1"/>
      <w:marLeft w:val="0"/>
      <w:marRight w:val="0"/>
      <w:marTop w:val="0"/>
      <w:marBottom w:val="0"/>
      <w:divBdr>
        <w:top w:val="none" w:sz="0" w:space="0" w:color="auto"/>
        <w:left w:val="none" w:sz="0" w:space="0" w:color="auto"/>
        <w:bottom w:val="none" w:sz="0" w:space="0" w:color="auto"/>
        <w:right w:val="none" w:sz="0" w:space="0" w:color="auto"/>
      </w:divBdr>
    </w:div>
    <w:div w:id="1371414604">
      <w:bodyDiv w:val="1"/>
      <w:marLeft w:val="0"/>
      <w:marRight w:val="0"/>
      <w:marTop w:val="0"/>
      <w:marBottom w:val="0"/>
      <w:divBdr>
        <w:top w:val="none" w:sz="0" w:space="0" w:color="auto"/>
        <w:left w:val="none" w:sz="0" w:space="0" w:color="auto"/>
        <w:bottom w:val="none" w:sz="0" w:space="0" w:color="auto"/>
        <w:right w:val="none" w:sz="0" w:space="0" w:color="auto"/>
      </w:divBdr>
    </w:div>
    <w:div w:id="1372996509">
      <w:bodyDiv w:val="1"/>
      <w:marLeft w:val="0"/>
      <w:marRight w:val="0"/>
      <w:marTop w:val="0"/>
      <w:marBottom w:val="0"/>
      <w:divBdr>
        <w:top w:val="none" w:sz="0" w:space="0" w:color="auto"/>
        <w:left w:val="none" w:sz="0" w:space="0" w:color="auto"/>
        <w:bottom w:val="none" w:sz="0" w:space="0" w:color="auto"/>
        <w:right w:val="none" w:sz="0" w:space="0" w:color="auto"/>
      </w:divBdr>
    </w:div>
    <w:div w:id="1396005349">
      <w:bodyDiv w:val="1"/>
      <w:marLeft w:val="0"/>
      <w:marRight w:val="0"/>
      <w:marTop w:val="0"/>
      <w:marBottom w:val="0"/>
      <w:divBdr>
        <w:top w:val="none" w:sz="0" w:space="0" w:color="auto"/>
        <w:left w:val="none" w:sz="0" w:space="0" w:color="auto"/>
        <w:bottom w:val="none" w:sz="0" w:space="0" w:color="auto"/>
        <w:right w:val="none" w:sz="0" w:space="0" w:color="auto"/>
      </w:divBdr>
    </w:div>
    <w:div w:id="1421482710">
      <w:bodyDiv w:val="1"/>
      <w:marLeft w:val="0"/>
      <w:marRight w:val="0"/>
      <w:marTop w:val="0"/>
      <w:marBottom w:val="0"/>
      <w:divBdr>
        <w:top w:val="none" w:sz="0" w:space="0" w:color="auto"/>
        <w:left w:val="none" w:sz="0" w:space="0" w:color="auto"/>
        <w:bottom w:val="none" w:sz="0" w:space="0" w:color="auto"/>
        <w:right w:val="none" w:sz="0" w:space="0" w:color="auto"/>
      </w:divBdr>
    </w:div>
    <w:div w:id="1463888444">
      <w:bodyDiv w:val="1"/>
      <w:marLeft w:val="0"/>
      <w:marRight w:val="0"/>
      <w:marTop w:val="0"/>
      <w:marBottom w:val="0"/>
      <w:divBdr>
        <w:top w:val="none" w:sz="0" w:space="0" w:color="auto"/>
        <w:left w:val="none" w:sz="0" w:space="0" w:color="auto"/>
        <w:bottom w:val="none" w:sz="0" w:space="0" w:color="auto"/>
        <w:right w:val="none" w:sz="0" w:space="0" w:color="auto"/>
      </w:divBdr>
    </w:div>
    <w:div w:id="1508326962">
      <w:bodyDiv w:val="1"/>
      <w:marLeft w:val="0"/>
      <w:marRight w:val="0"/>
      <w:marTop w:val="0"/>
      <w:marBottom w:val="0"/>
      <w:divBdr>
        <w:top w:val="none" w:sz="0" w:space="0" w:color="auto"/>
        <w:left w:val="none" w:sz="0" w:space="0" w:color="auto"/>
        <w:bottom w:val="none" w:sz="0" w:space="0" w:color="auto"/>
        <w:right w:val="none" w:sz="0" w:space="0" w:color="auto"/>
      </w:divBdr>
    </w:div>
    <w:div w:id="1532718047">
      <w:bodyDiv w:val="1"/>
      <w:marLeft w:val="0"/>
      <w:marRight w:val="0"/>
      <w:marTop w:val="0"/>
      <w:marBottom w:val="0"/>
      <w:divBdr>
        <w:top w:val="none" w:sz="0" w:space="0" w:color="auto"/>
        <w:left w:val="none" w:sz="0" w:space="0" w:color="auto"/>
        <w:bottom w:val="none" w:sz="0" w:space="0" w:color="auto"/>
        <w:right w:val="none" w:sz="0" w:space="0" w:color="auto"/>
      </w:divBdr>
    </w:div>
    <w:div w:id="1543783364">
      <w:bodyDiv w:val="1"/>
      <w:marLeft w:val="0"/>
      <w:marRight w:val="0"/>
      <w:marTop w:val="0"/>
      <w:marBottom w:val="0"/>
      <w:divBdr>
        <w:top w:val="none" w:sz="0" w:space="0" w:color="auto"/>
        <w:left w:val="none" w:sz="0" w:space="0" w:color="auto"/>
        <w:bottom w:val="none" w:sz="0" w:space="0" w:color="auto"/>
        <w:right w:val="none" w:sz="0" w:space="0" w:color="auto"/>
      </w:divBdr>
    </w:div>
    <w:div w:id="1574854709">
      <w:bodyDiv w:val="1"/>
      <w:marLeft w:val="0"/>
      <w:marRight w:val="0"/>
      <w:marTop w:val="0"/>
      <w:marBottom w:val="0"/>
      <w:divBdr>
        <w:top w:val="none" w:sz="0" w:space="0" w:color="auto"/>
        <w:left w:val="none" w:sz="0" w:space="0" w:color="auto"/>
        <w:bottom w:val="none" w:sz="0" w:space="0" w:color="auto"/>
        <w:right w:val="none" w:sz="0" w:space="0" w:color="auto"/>
      </w:divBdr>
    </w:div>
    <w:div w:id="1626692307">
      <w:bodyDiv w:val="1"/>
      <w:marLeft w:val="0"/>
      <w:marRight w:val="0"/>
      <w:marTop w:val="0"/>
      <w:marBottom w:val="0"/>
      <w:divBdr>
        <w:top w:val="none" w:sz="0" w:space="0" w:color="auto"/>
        <w:left w:val="none" w:sz="0" w:space="0" w:color="auto"/>
        <w:bottom w:val="none" w:sz="0" w:space="0" w:color="auto"/>
        <w:right w:val="none" w:sz="0" w:space="0" w:color="auto"/>
      </w:divBdr>
    </w:div>
    <w:div w:id="1630933851">
      <w:bodyDiv w:val="1"/>
      <w:marLeft w:val="0"/>
      <w:marRight w:val="0"/>
      <w:marTop w:val="0"/>
      <w:marBottom w:val="0"/>
      <w:divBdr>
        <w:top w:val="none" w:sz="0" w:space="0" w:color="auto"/>
        <w:left w:val="none" w:sz="0" w:space="0" w:color="auto"/>
        <w:bottom w:val="none" w:sz="0" w:space="0" w:color="auto"/>
        <w:right w:val="none" w:sz="0" w:space="0" w:color="auto"/>
      </w:divBdr>
    </w:div>
    <w:div w:id="1640112731">
      <w:bodyDiv w:val="1"/>
      <w:marLeft w:val="0"/>
      <w:marRight w:val="0"/>
      <w:marTop w:val="0"/>
      <w:marBottom w:val="0"/>
      <w:divBdr>
        <w:top w:val="none" w:sz="0" w:space="0" w:color="auto"/>
        <w:left w:val="none" w:sz="0" w:space="0" w:color="auto"/>
        <w:bottom w:val="none" w:sz="0" w:space="0" w:color="auto"/>
        <w:right w:val="none" w:sz="0" w:space="0" w:color="auto"/>
      </w:divBdr>
    </w:div>
    <w:div w:id="1661081890">
      <w:bodyDiv w:val="1"/>
      <w:marLeft w:val="0"/>
      <w:marRight w:val="0"/>
      <w:marTop w:val="0"/>
      <w:marBottom w:val="0"/>
      <w:divBdr>
        <w:top w:val="none" w:sz="0" w:space="0" w:color="auto"/>
        <w:left w:val="none" w:sz="0" w:space="0" w:color="auto"/>
        <w:bottom w:val="none" w:sz="0" w:space="0" w:color="auto"/>
        <w:right w:val="none" w:sz="0" w:space="0" w:color="auto"/>
      </w:divBdr>
    </w:div>
    <w:div w:id="1661613927">
      <w:bodyDiv w:val="1"/>
      <w:marLeft w:val="0"/>
      <w:marRight w:val="0"/>
      <w:marTop w:val="0"/>
      <w:marBottom w:val="0"/>
      <w:divBdr>
        <w:top w:val="none" w:sz="0" w:space="0" w:color="auto"/>
        <w:left w:val="none" w:sz="0" w:space="0" w:color="auto"/>
        <w:bottom w:val="none" w:sz="0" w:space="0" w:color="auto"/>
        <w:right w:val="none" w:sz="0" w:space="0" w:color="auto"/>
      </w:divBdr>
    </w:div>
    <w:div w:id="1662653847">
      <w:bodyDiv w:val="1"/>
      <w:marLeft w:val="0"/>
      <w:marRight w:val="0"/>
      <w:marTop w:val="0"/>
      <w:marBottom w:val="0"/>
      <w:divBdr>
        <w:top w:val="none" w:sz="0" w:space="0" w:color="auto"/>
        <w:left w:val="none" w:sz="0" w:space="0" w:color="auto"/>
        <w:bottom w:val="none" w:sz="0" w:space="0" w:color="auto"/>
        <w:right w:val="none" w:sz="0" w:space="0" w:color="auto"/>
      </w:divBdr>
    </w:div>
    <w:div w:id="1710644332">
      <w:bodyDiv w:val="1"/>
      <w:marLeft w:val="0"/>
      <w:marRight w:val="0"/>
      <w:marTop w:val="0"/>
      <w:marBottom w:val="0"/>
      <w:divBdr>
        <w:top w:val="none" w:sz="0" w:space="0" w:color="auto"/>
        <w:left w:val="none" w:sz="0" w:space="0" w:color="auto"/>
        <w:bottom w:val="none" w:sz="0" w:space="0" w:color="auto"/>
        <w:right w:val="none" w:sz="0" w:space="0" w:color="auto"/>
      </w:divBdr>
    </w:div>
    <w:div w:id="1758860812">
      <w:bodyDiv w:val="1"/>
      <w:marLeft w:val="0"/>
      <w:marRight w:val="0"/>
      <w:marTop w:val="0"/>
      <w:marBottom w:val="0"/>
      <w:divBdr>
        <w:top w:val="none" w:sz="0" w:space="0" w:color="auto"/>
        <w:left w:val="none" w:sz="0" w:space="0" w:color="auto"/>
        <w:bottom w:val="none" w:sz="0" w:space="0" w:color="auto"/>
        <w:right w:val="none" w:sz="0" w:space="0" w:color="auto"/>
      </w:divBdr>
    </w:div>
    <w:div w:id="1795518934">
      <w:bodyDiv w:val="1"/>
      <w:marLeft w:val="0"/>
      <w:marRight w:val="0"/>
      <w:marTop w:val="0"/>
      <w:marBottom w:val="0"/>
      <w:divBdr>
        <w:top w:val="none" w:sz="0" w:space="0" w:color="auto"/>
        <w:left w:val="none" w:sz="0" w:space="0" w:color="auto"/>
        <w:bottom w:val="none" w:sz="0" w:space="0" w:color="auto"/>
        <w:right w:val="none" w:sz="0" w:space="0" w:color="auto"/>
      </w:divBdr>
    </w:div>
    <w:div w:id="1828664600">
      <w:bodyDiv w:val="1"/>
      <w:marLeft w:val="0"/>
      <w:marRight w:val="0"/>
      <w:marTop w:val="0"/>
      <w:marBottom w:val="0"/>
      <w:divBdr>
        <w:top w:val="none" w:sz="0" w:space="0" w:color="auto"/>
        <w:left w:val="none" w:sz="0" w:space="0" w:color="auto"/>
        <w:bottom w:val="none" w:sz="0" w:space="0" w:color="auto"/>
        <w:right w:val="none" w:sz="0" w:space="0" w:color="auto"/>
      </w:divBdr>
    </w:div>
    <w:div w:id="1837570982">
      <w:bodyDiv w:val="1"/>
      <w:marLeft w:val="0"/>
      <w:marRight w:val="0"/>
      <w:marTop w:val="0"/>
      <w:marBottom w:val="0"/>
      <w:divBdr>
        <w:top w:val="none" w:sz="0" w:space="0" w:color="auto"/>
        <w:left w:val="none" w:sz="0" w:space="0" w:color="auto"/>
        <w:bottom w:val="none" w:sz="0" w:space="0" w:color="auto"/>
        <w:right w:val="none" w:sz="0" w:space="0" w:color="auto"/>
      </w:divBdr>
    </w:div>
    <w:div w:id="1842164682">
      <w:bodyDiv w:val="1"/>
      <w:marLeft w:val="0"/>
      <w:marRight w:val="0"/>
      <w:marTop w:val="0"/>
      <w:marBottom w:val="0"/>
      <w:divBdr>
        <w:top w:val="none" w:sz="0" w:space="0" w:color="auto"/>
        <w:left w:val="none" w:sz="0" w:space="0" w:color="auto"/>
        <w:bottom w:val="none" w:sz="0" w:space="0" w:color="auto"/>
        <w:right w:val="none" w:sz="0" w:space="0" w:color="auto"/>
      </w:divBdr>
    </w:div>
    <w:div w:id="1860897986">
      <w:bodyDiv w:val="1"/>
      <w:marLeft w:val="0"/>
      <w:marRight w:val="0"/>
      <w:marTop w:val="0"/>
      <w:marBottom w:val="0"/>
      <w:divBdr>
        <w:top w:val="none" w:sz="0" w:space="0" w:color="auto"/>
        <w:left w:val="none" w:sz="0" w:space="0" w:color="auto"/>
        <w:bottom w:val="none" w:sz="0" w:space="0" w:color="auto"/>
        <w:right w:val="none" w:sz="0" w:space="0" w:color="auto"/>
      </w:divBdr>
    </w:div>
    <w:div w:id="1891770689">
      <w:bodyDiv w:val="1"/>
      <w:marLeft w:val="0"/>
      <w:marRight w:val="0"/>
      <w:marTop w:val="0"/>
      <w:marBottom w:val="0"/>
      <w:divBdr>
        <w:top w:val="none" w:sz="0" w:space="0" w:color="auto"/>
        <w:left w:val="none" w:sz="0" w:space="0" w:color="auto"/>
        <w:bottom w:val="none" w:sz="0" w:space="0" w:color="auto"/>
        <w:right w:val="none" w:sz="0" w:space="0" w:color="auto"/>
      </w:divBdr>
    </w:div>
    <w:div w:id="1910655703">
      <w:bodyDiv w:val="1"/>
      <w:marLeft w:val="0"/>
      <w:marRight w:val="0"/>
      <w:marTop w:val="0"/>
      <w:marBottom w:val="0"/>
      <w:divBdr>
        <w:top w:val="none" w:sz="0" w:space="0" w:color="auto"/>
        <w:left w:val="none" w:sz="0" w:space="0" w:color="auto"/>
        <w:bottom w:val="none" w:sz="0" w:space="0" w:color="auto"/>
        <w:right w:val="none" w:sz="0" w:space="0" w:color="auto"/>
      </w:divBdr>
    </w:div>
    <w:div w:id="1935555111">
      <w:bodyDiv w:val="1"/>
      <w:marLeft w:val="0"/>
      <w:marRight w:val="0"/>
      <w:marTop w:val="0"/>
      <w:marBottom w:val="0"/>
      <w:divBdr>
        <w:top w:val="none" w:sz="0" w:space="0" w:color="auto"/>
        <w:left w:val="none" w:sz="0" w:space="0" w:color="auto"/>
        <w:bottom w:val="none" w:sz="0" w:space="0" w:color="auto"/>
        <w:right w:val="none" w:sz="0" w:space="0" w:color="auto"/>
      </w:divBdr>
    </w:div>
    <w:div w:id="1944872345">
      <w:bodyDiv w:val="1"/>
      <w:marLeft w:val="0"/>
      <w:marRight w:val="0"/>
      <w:marTop w:val="0"/>
      <w:marBottom w:val="0"/>
      <w:divBdr>
        <w:top w:val="none" w:sz="0" w:space="0" w:color="auto"/>
        <w:left w:val="none" w:sz="0" w:space="0" w:color="auto"/>
        <w:bottom w:val="none" w:sz="0" w:space="0" w:color="auto"/>
        <w:right w:val="none" w:sz="0" w:space="0" w:color="auto"/>
      </w:divBdr>
    </w:div>
    <w:div w:id="1959795902">
      <w:bodyDiv w:val="1"/>
      <w:marLeft w:val="0"/>
      <w:marRight w:val="0"/>
      <w:marTop w:val="0"/>
      <w:marBottom w:val="0"/>
      <w:divBdr>
        <w:top w:val="none" w:sz="0" w:space="0" w:color="auto"/>
        <w:left w:val="none" w:sz="0" w:space="0" w:color="auto"/>
        <w:bottom w:val="none" w:sz="0" w:space="0" w:color="auto"/>
        <w:right w:val="none" w:sz="0" w:space="0" w:color="auto"/>
      </w:divBdr>
    </w:div>
    <w:div w:id="1973440917">
      <w:bodyDiv w:val="1"/>
      <w:marLeft w:val="0"/>
      <w:marRight w:val="0"/>
      <w:marTop w:val="0"/>
      <w:marBottom w:val="0"/>
      <w:divBdr>
        <w:top w:val="none" w:sz="0" w:space="0" w:color="auto"/>
        <w:left w:val="none" w:sz="0" w:space="0" w:color="auto"/>
        <w:bottom w:val="none" w:sz="0" w:space="0" w:color="auto"/>
        <w:right w:val="none" w:sz="0" w:space="0" w:color="auto"/>
      </w:divBdr>
    </w:div>
    <w:div w:id="1997026050">
      <w:bodyDiv w:val="1"/>
      <w:marLeft w:val="0"/>
      <w:marRight w:val="0"/>
      <w:marTop w:val="0"/>
      <w:marBottom w:val="0"/>
      <w:divBdr>
        <w:top w:val="none" w:sz="0" w:space="0" w:color="auto"/>
        <w:left w:val="none" w:sz="0" w:space="0" w:color="auto"/>
        <w:bottom w:val="none" w:sz="0" w:space="0" w:color="auto"/>
        <w:right w:val="none" w:sz="0" w:space="0" w:color="auto"/>
      </w:divBdr>
    </w:div>
    <w:div w:id="2019574634">
      <w:bodyDiv w:val="1"/>
      <w:marLeft w:val="0"/>
      <w:marRight w:val="0"/>
      <w:marTop w:val="0"/>
      <w:marBottom w:val="0"/>
      <w:divBdr>
        <w:top w:val="none" w:sz="0" w:space="0" w:color="auto"/>
        <w:left w:val="none" w:sz="0" w:space="0" w:color="auto"/>
        <w:bottom w:val="none" w:sz="0" w:space="0" w:color="auto"/>
        <w:right w:val="none" w:sz="0" w:space="0" w:color="auto"/>
      </w:divBdr>
    </w:div>
    <w:div w:id="2033460345">
      <w:bodyDiv w:val="1"/>
      <w:marLeft w:val="0"/>
      <w:marRight w:val="0"/>
      <w:marTop w:val="0"/>
      <w:marBottom w:val="0"/>
      <w:divBdr>
        <w:top w:val="none" w:sz="0" w:space="0" w:color="auto"/>
        <w:left w:val="none" w:sz="0" w:space="0" w:color="auto"/>
        <w:bottom w:val="none" w:sz="0" w:space="0" w:color="auto"/>
        <w:right w:val="none" w:sz="0" w:space="0" w:color="auto"/>
      </w:divBdr>
    </w:div>
    <w:div w:id="2033991658">
      <w:bodyDiv w:val="1"/>
      <w:marLeft w:val="0"/>
      <w:marRight w:val="0"/>
      <w:marTop w:val="0"/>
      <w:marBottom w:val="0"/>
      <w:divBdr>
        <w:top w:val="none" w:sz="0" w:space="0" w:color="auto"/>
        <w:left w:val="none" w:sz="0" w:space="0" w:color="auto"/>
        <w:bottom w:val="none" w:sz="0" w:space="0" w:color="auto"/>
        <w:right w:val="none" w:sz="0" w:space="0" w:color="auto"/>
      </w:divBdr>
    </w:div>
    <w:div w:id="2036997725">
      <w:bodyDiv w:val="1"/>
      <w:marLeft w:val="0"/>
      <w:marRight w:val="0"/>
      <w:marTop w:val="0"/>
      <w:marBottom w:val="0"/>
      <w:divBdr>
        <w:top w:val="none" w:sz="0" w:space="0" w:color="auto"/>
        <w:left w:val="none" w:sz="0" w:space="0" w:color="auto"/>
        <w:bottom w:val="none" w:sz="0" w:space="0" w:color="auto"/>
        <w:right w:val="none" w:sz="0" w:space="0" w:color="auto"/>
      </w:divBdr>
    </w:div>
    <w:div w:id="2060088021">
      <w:bodyDiv w:val="1"/>
      <w:marLeft w:val="0"/>
      <w:marRight w:val="0"/>
      <w:marTop w:val="0"/>
      <w:marBottom w:val="0"/>
      <w:divBdr>
        <w:top w:val="none" w:sz="0" w:space="0" w:color="auto"/>
        <w:left w:val="none" w:sz="0" w:space="0" w:color="auto"/>
        <w:bottom w:val="none" w:sz="0" w:space="0" w:color="auto"/>
        <w:right w:val="none" w:sz="0" w:space="0" w:color="auto"/>
      </w:divBdr>
    </w:div>
    <w:div w:id="2112427674">
      <w:bodyDiv w:val="1"/>
      <w:marLeft w:val="0"/>
      <w:marRight w:val="0"/>
      <w:marTop w:val="0"/>
      <w:marBottom w:val="0"/>
      <w:divBdr>
        <w:top w:val="none" w:sz="0" w:space="0" w:color="auto"/>
        <w:left w:val="none" w:sz="0" w:space="0" w:color="auto"/>
        <w:bottom w:val="none" w:sz="0" w:space="0" w:color="auto"/>
        <w:right w:val="none" w:sz="0" w:space="0" w:color="auto"/>
      </w:divBdr>
    </w:div>
    <w:div w:id="2115512026">
      <w:bodyDiv w:val="1"/>
      <w:marLeft w:val="0"/>
      <w:marRight w:val="0"/>
      <w:marTop w:val="0"/>
      <w:marBottom w:val="0"/>
      <w:divBdr>
        <w:top w:val="none" w:sz="0" w:space="0" w:color="auto"/>
        <w:left w:val="none" w:sz="0" w:space="0" w:color="auto"/>
        <w:bottom w:val="none" w:sz="0" w:space="0" w:color="auto"/>
        <w:right w:val="none" w:sz="0" w:space="0" w:color="auto"/>
      </w:divBdr>
    </w:div>
    <w:div w:id="2125882131">
      <w:bodyDiv w:val="1"/>
      <w:marLeft w:val="0"/>
      <w:marRight w:val="0"/>
      <w:marTop w:val="0"/>
      <w:marBottom w:val="0"/>
      <w:divBdr>
        <w:top w:val="none" w:sz="0" w:space="0" w:color="auto"/>
        <w:left w:val="none" w:sz="0" w:space="0" w:color="auto"/>
        <w:bottom w:val="none" w:sz="0" w:space="0" w:color="auto"/>
        <w:right w:val="none" w:sz="0" w:space="0" w:color="auto"/>
      </w:divBdr>
    </w:div>
    <w:div w:id="2128232804">
      <w:bodyDiv w:val="1"/>
      <w:marLeft w:val="0"/>
      <w:marRight w:val="0"/>
      <w:marTop w:val="0"/>
      <w:marBottom w:val="0"/>
      <w:divBdr>
        <w:top w:val="none" w:sz="0" w:space="0" w:color="auto"/>
        <w:left w:val="none" w:sz="0" w:space="0" w:color="auto"/>
        <w:bottom w:val="none" w:sz="0" w:space="0" w:color="auto"/>
        <w:right w:val="none" w:sz="0" w:space="0" w:color="auto"/>
      </w:divBdr>
    </w:div>
    <w:div w:id="2130395143">
      <w:bodyDiv w:val="1"/>
      <w:marLeft w:val="0"/>
      <w:marRight w:val="0"/>
      <w:marTop w:val="0"/>
      <w:marBottom w:val="0"/>
      <w:divBdr>
        <w:top w:val="none" w:sz="0" w:space="0" w:color="auto"/>
        <w:left w:val="none" w:sz="0" w:space="0" w:color="auto"/>
        <w:bottom w:val="none" w:sz="0" w:space="0" w:color="auto"/>
        <w:right w:val="none" w:sz="0" w:space="0" w:color="auto"/>
      </w:divBdr>
    </w:div>
    <w:div w:id="213274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r.titan-cement.com/el/investor-information/financial-results"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87399.themediaframe.eu/links/titan20073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r.titan-ce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FintikakiM\OneDrive%20-%20Titan%20Cement%20Company%20SA\Documents\docs\Investor%20Relations\Financial%20Results\2021\6month%202021\Website%20publications\Press%20Release\Press%20Release%20Tables%20Q2%20202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82827732852519"/>
          <c:y val="0.13715043900687351"/>
          <c:w val="0.67799960827715988"/>
          <c:h val="0.77320409558064807"/>
        </c:manualLayout>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8505-4413-B288-096D1A4E32D0}"/>
              </c:ext>
            </c:extLst>
          </c:dPt>
          <c:dPt>
            <c:idx val="1"/>
            <c:bubble3D val="0"/>
            <c:spPr>
              <a:solidFill>
                <a:srgbClr val="C7C8CA"/>
              </a:solidFill>
              <a:ln w="19050">
                <a:noFill/>
              </a:ln>
              <a:effectLst/>
            </c:spPr>
            <c:extLst>
              <c:ext xmlns:c16="http://schemas.microsoft.com/office/drawing/2014/chart" uri="{C3380CC4-5D6E-409C-BE32-E72D297353CC}">
                <c16:uniqueId val="{00000003-8505-4413-B288-096D1A4E32D0}"/>
              </c:ext>
            </c:extLst>
          </c:dPt>
          <c:val>
            <c:numRef>
              <c:f>(Values!$G$7,Values!$J$27)</c:f>
              <c:numCache>
                <c:formatCode>#,##0.0;[Black]\-#,##0.0;\-</c:formatCode>
                <c:ptCount val="2"/>
                <c:pt idx="0">
                  <c:v>479.3</c:v>
                </c:pt>
                <c:pt idx="1">
                  <c:v>341.8</c:v>
                </c:pt>
              </c:numCache>
            </c:numRef>
          </c:val>
          <c:extLst>
            <c:ext xmlns:c16="http://schemas.microsoft.com/office/drawing/2014/chart" uri="{C3380CC4-5D6E-409C-BE32-E72D297353CC}">
              <c16:uniqueId val="{00000004-8505-4413-B288-096D1A4E32D0}"/>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9955657491472"/>
          <c:y val="8.7301587301587297E-2"/>
          <c:w val="0.76190432239951411"/>
          <c:h val="0.82539682539682535"/>
        </c:manualLayout>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5D51-4F59-9CA7-0A37CF2E85D7}"/>
              </c:ext>
            </c:extLst>
          </c:dPt>
          <c:dPt>
            <c:idx val="1"/>
            <c:bubble3D val="0"/>
            <c:spPr>
              <a:solidFill>
                <a:srgbClr val="C7C8CA"/>
              </a:solidFill>
              <a:ln w="19050">
                <a:noFill/>
              </a:ln>
              <a:effectLst/>
            </c:spPr>
            <c:extLst>
              <c:ext xmlns:c16="http://schemas.microsoft.com/office/drawing/2014/chart" uri="{C3380CC4-5D6E-409C-BE32-E72D297353CC}">
                <c16:uniqueId val="{00000003-5D51-4F59-9CA7-0A37CF2E85D7}"/>
              </c:ext>
            </c:extLst>
          </c:dPt>
          <c:val>
            <c:numRef>
              <c:f>(Values!$G$8,Values!$K$27)</c:f>
              <c:numCache>
                <c:formatCode>#,##0.0;[Black]\-#,##0.0;\-</c:formatCode>
                <c:ptCount val="2"/>
                <c:pt idx="0">
                  <c:v>81.2</c:v>
                </c:pt>
                <c:pt idx="1">
                  <c:v>61.1</c:v>
                </c:pt>
              </c:numCache>
            </c:numRef>
          </c:val>
          <c:extLst>
            <c:ext xmlns:c16="http://schemas.microsoft.com/office/drawing/2014/chart" uri="{C3380CC4-5D6E-409C-BE32-E72D297353CC}">
              <c16:uniqueId val="{00000004-5D51-4F59-9CA7-0A37CF2E85D7}"/>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E9E5-43B3-980D-00166E035192}"/>
              </c:ext>
            </c:extLst>
          </c:dPt>
          <c:dPt>
            <c:idx val="1"/>
            <c:bubble3D val="0"/>
            <c:spPr>
              <a:solidFill>
                <a:srgbClr val="C7C8CA"/>
              </a:solidFill>
              <a:ln w="19050">
                <a:noFill/>
              </a:ln>
              <a:effectLst/>
            </c:spPr>
            <c:extLst>
              <c:ext xmlns:c16="http://schemas.microsoft.com/office/drawing/2014/chart" uri="{C3380CC4-5D6E-409C-BE32-E72D297353CC}">
                <c16:uniqueId val="{00000003-E9E5-43B3-980D-00166E035192}"/>
              </c:ext>
            </c:extLst>
          </c:dPt>
          <c:val>
            <c:numRef>
              <c:f>(Values!$K$7,Values!$J$49)</c:f>
              <c:numCache>
                <c:formatCode>#,##0.0;[Black]\-#,##0.0;\-</c:formatCode>
                <c:ptCount val="2"/>
                <c:pt idx="0">
                  <c:v>133.5</c:v>
                </c:pt>
                <c:pt idx="1">
                  <c:v>687.6</c:v>
                </c:pt>
              </c:numCache>
            </c:numRef>
          </c:val>
          <c:extLst>
            <c:ext xmlns:c16="http://schemas.microsoft.com/office/drawing/2014/chart" uri="{C3380CC4-5D6E-409C-BE32-E72D297353CC}">
              <c16:uniqueId val="{00000004-E9E5-43B3-980D-00166E035192}"/>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ln>
              <a:noFill/>
            </a:ln>
          </c:spPr>
          <c:dPt>
            <c:idx val="0"/>
            <c:bubble3D val="0"/>
            <c:spPr>
              <a:solidFill>
                <a:srgbClr val="00183D"/>
              </a:solidFill>
              <a:ln w="19050">
                <a:noFill/>
              </a:ln>
              <a:effectLst/>
            </c:spPr>
            <c:extLst>
              <c:ext xmlns:c16="http://schemas.microsoft.com/office/drawing/2014/chart" uri="{C3380CC4-5D6E-409C-BE32-E72D297353CC}">
                <c16:uniqueId val="{00000001-F05F-48D7-9A8A-23829FFF0FDC}"/>
              </c:ext>
            </c:extLst>
          </c:dPt>
          <c:dPt>
            <c:idx val="1"/>
            <c:bubble3D val="0"/>
            <c:spPr>
              <a:solidFill>
                <a:srgbClr val="C7C8CA"/>
              </a:solidFill>
              <a:ln w="19050">
                <a:noFill/>
              </a:ln>
              <a:effectLst/>
            </c:spPr>
            <c:extLst>
              <c:ext xmlns:c16="http://schemas.microsoft.com/office/drawing/2014/chart" uri="{C3380CC4-5D6E-409C-BE32-E72D297353CC}">
                <c16:uniqueId val="{00000003-F05F-48D7-9A8A-23829FFF0FDC}"/>
              </c:ext>
            </c:extLst>
          </c:dPt>
          <c:val>
            <c:numRef>
              <c:f>(Values!$K$8,Values!$K$49)</c:f>
              <c:numCache>
                <c:formatCode>#,##0.0;[Black]\-#,##0.0;\-</c:formatCode>
                <c:ptCount val="2"/>
                <c:pt idx="0">
                  <c:v>17</c:v>
                </c:pt>
                <c:pt idx="1">
                  <c:v>125.6</c:v>
                </c:pt>
              </c:numCache>
            </c:numRef>
          </c:val>
          <c:extLst>
            <c:ext xmlns:c16="http://schemas.microsoft.com/office/drawing/2014/chart" uri="{C3380CC4-5D6E-409C-BE32-E72D297353CC}">
              <c16:uniqueId val="{00000004-F05F-48D7-9A8A-23829FFF0FDC}"/>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51AA-48E3-9B81-6636631E0433}"/>
              </c:ext>
            </c:extLst>
          </c:dPt>
          <c:dPt>
            <c:idx val="1"/>
            <c:bubble3D val="0"/>
            <c:spPr>
              <a:solidFill>
                <a:srgbClr val="C7C8CA"/>
              </a:solidFill>
              <a:ln w="19050">
                <a:noFill/>
              </a:ln>
              <a:effectLst/>
            </c:spPr>
            <c:extLst>
              <c:ext xmlns:c16="http://schemas.microsoft.com/office/drawing/2014/chart" uri="{C3380CC4-5D6E-409C-BE32-E72D297353CC}">
                <c16:uniqueId val="{00000003-51AA-48E3-9B81-6636631E0433}"/>
              </c:ext>
            </c:extLst>
          </c:dPt>
          <c:val>
            <c:numRef>
              <c:f>(Values!$O$7,Values!$J$67)</c:f>
              <c:numCache>
                <c:formatCode>#,##0.0;[Black]\-#,##0.0;\-</c:formatCode>
                <c:ptCount val="2"/>
                <c:pt idx="0">
                  <c:v>132.30000000000001</c:v>
                </c:pt>
                <c:pt idx="1">
                  <c:v>388.8</c:v>
                </c:pt>
              </c:numCache>
            </c:numRef>
          </c:val>
          <c:extLst>
            <c:ext xmlns:c16="http://schemas.microsoft.com/office/drawing/2014/chart" uri="{C3380CC4-5D6E-409C-BE32-E72D297353CC}">
              <c16:uniqueId val="{00000004-51AA-48E3-9B81-6636631E0433}"/>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383C-4EB0-BEF6-45DC2423D22E}"/>
              </c:ext>
            </c:extLst>
          </c:dPt>
          <c:dPt>
            <c:idx val="1"/>
            <c:bubble3D val="0"/>
            <c:spPr>
              <a:solidFill>
                <a:srgbClr val="C7C8CA"/>
              </a:solidFill>
              <a:ln w="19050">
                <a:noFill/>
              </a:ln>
              <a:effectLst/>
            </c:spPr>
            <c:extLst>
              <c:ext xmlns:c16="http://schemas.microsoft.com/office/drawing/2014/chart" uri="{C3380CC4-5D6E-409C-BE32-E72D297353CC}">
                <c16:uniqueId val="{00000003-383C-4EB0-BEF6-45DC2423D22E}"/>
              </c:ext>
            </c:extLst>
          </c:dPt>
          <c:val>
            <c:numRef>
              <c:f>(Values!$O$8,Values!$K$67)</c:f>
              <c:numCache>
                <c:formatCode>#,##0.0;[Black]\-#,##0.0;\-</c:formatCode>
                <c:ptCount val="2"/>
                <c:pt idx="0">
                  <c:v>42</c:v>
                </c:pt>
                <c:pt idx="1">
                  <c:v>100.6</c:v>
                </c:pt>
              </c:numCache>
            </c:numRef>
          </c:val>
          <c:extLst>
            <c:ext xmlns:c16="http://schemas.microsoft.com/office/drawing/2014/chart" uri="{C3380CC4-5D6E-409C-BE32-E72D297353CC}">
              <c16:uniqueId val="{00000004-383C-4EB0-BEF6-45DC2423D22E}"/>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0505902309276"/>
          <c:y val="8.7301587301587297E-2"/>
          <c:w val="0.76387928995314824"/>
          <c:h val="0.82539682539682535"/>
        </c:manualLayout>
      </c:layout>
      <c:doughnutChart>
        <c:varyColors val="1"/>
        <c:ser>
          <c:idx val="0"/>
          <c:order val="0"/>
          <c:spPr>
            <a:solidFill>
              <a:srgbClr val="00183D"/>
            </a:solidFill>
            <a:ln>
              <a:noFill/>
            </a:ln>
          </c:spPr>
          <c:dPt>
            <c:idx val="0"/>
            <c:bubble3D val="0"/>
            <c:spPr>
              <a:solidFill>
                <a:srgbClr val="00183D"/>
              </a:solidFill>
              <a:ln w="19050">
                <a:noFill/>
              </a:ln>
              <a:effectLst/>
            </c:spPr>
            <c:extLst>
              <c:ext xmlns:c16="http://schemas.microsoft.com/office/drawing/2014/chart" uri="{C3380CC4-5D6E-409C-BE32-E72D297353CC}">
                <c16:uniqueId val="{00000001-161B-450C-97E9-6667B71DE27F}"/>
              </c:ext>
            </c:extLst>
          </c:dPt>
          <c:dPt>
            <c:idx val="1"/>
            <c:bubble3D val="0"/>
            <c:spPr>
              <a:solidFill>
                <a:srgbClr val="C7C8CA"/>
              </a:solidFill>
              <a:ln w="19050">
                <a:noFill/>
              </a:ln>
              <a:effectLst/>
            </c:spPr>
            <c:extLst>
              <c:ext xmlns:c16="http://schemas.microsoft.com/office/drawing/2014/chart" uri="{C3380CC4-5D6E-409C-BE32-E72D297353CC}">
                <c16:uniqueId val="{00000003-161B-450C-97E9-6667B71DE27F}"/>
              </c:ext>
            </c:extLst>
          </c:dPt>
          <c:val>
            <c:numRef>
              <c:f>(Values!$S$7,Values!$J$84)</c:f>
              <c:numCache>
                <c:formatCode>#,##0.0;[Black]\-#,##0.0;\-</c:formatCode>
                <c:ptCount val="2"/>
                <c:pt idx="0">
                  <c:v>75.900000000000006</c:v>
                </c:pt>
                <c:pt idx="1">
                  <c:v>745.2</c:v>
                </c:pt>
              </c:numCache>
            </c:numRef>
          </c:val>
          <c:extLst>
            <c:ext xmlns:c16="http://schemas.microsoft.com/office/drawing/2014/chart" uri="{C3380CC4-5D6E-409C-BE32-E72D297353CC}">
              <c16:uniqueId val="{00000004-161B-450C-97E9-6667B71DE27F}"/>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00183D"/>
              </a:solidFill>
              <a:ln w="19050">
                <a:solidFill>
                  <a:schemeClr val="lt1"/>
                </a:solidFill>
              </a:ln>
              <a:effectLst/>
            </c:spPr>
            <c:extLst>
              <c:ext xmlns:c16="http://schemas.microsoft.com/office/drawing/2014/chart" uri="{C3380CC4-5D6E-409C-BE32-E72D297353CC}">
                <c16:uniqueId val="{00000001-872A-4B64-BDDF-07325480DC7B}"/>
              </c:ext>
            </c:extLst>
          </c:dPt>
          <c:dPt>
            <c:idx val="1"/>
            <c:bubble3D val="0"/>
            <c:spPr>
              <a:solidFill>
                <a:srgbClr val="C7C8CA"/>
              </a:solidFill>
              <a:ln w="19050">
                <a:solidFill>
                  <a:schemeClr val="lt1"/>
                </a:solidFill>
              </a:ln>
              <a:effectLst/>
            </c:spPr>
            <c:extLst>
              <c:ext xmlns:c16="http://schemas.microsoft.com/office/drawing/2014/chart" uri="{C3380CC4-5D6E-409C-BE32-E72D297353CC}">
                <c16:uniqueId val="{00000003-872A-4B64-BDDF-07325480DC7B}"/>
              </c:ext>
            </c:extLst>
          </c:dPt>
          <c:val>
            <c:numRef>
              <c:f>(Values!$S$8,Values!$K$84)</c:f>
              <c:numCache>
                <c:formatCode>#,##0.0;[Black]\-#,##0.0;\-</c:formatCode>
                <c:ptCount val="2"/>
                <c:pt idx="0">
                  <c:v>2.4</c:v>
                </c:pt>
                <c:pt idx="1">
                  <c:v>140.19999999999999</c:v>
                </c:pt>
              </c:numCache>
            </c:numRef>
          </c:val>
          <c:extLst>
            <c:ext xmlns:c16="http://schemas.microsoft.com/office/drawing/2014/chart" uri="{C3380CC4-5D6E-409C-BE32-E72D297353CC}">
              <c16:uniqueId val="{00000004-872A-4B64-BDDF-07325480DC7B}"/>
            </c:ext>
          </c:extLst>
        </c:ser>
        <c:dLbls>
          <c:showLegendKey val="0"/>
          <c:showVal val="0"/>
          <c:showCatName val="0"/>
          <c:showSerName val="0"/>
          <c:showPercent val="0"/>
          <c:showBubbleSize val="0"/>
          <c:showLeaderLines val="1"/>
        </c:dLbls>
        <c:firstSliceAng val="0"/>
        <c:holeSize val="9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0.14894</cdr:x>
      <cdr:y>0</cdr:y>
    </cdr:from>
    <cdr:to>
      <cdr:x>0.87168</cdr:x>
      <cdr:y>0.95857</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66131" y="-3200400"/>
          <a:ext cx="1291458" cy="1263035"/>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endParaRPr lang="el-GR" sz="1200" b="1">
            <a:solidFill>
              <a:srgbClr val="00183D"/>
            </a:solidFill>
          </a:endParaRPr>
        </a:p>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479</a:t>
          </a:r>
          <a:r>
            <a:rPr lang="el-GR" sz="1200" b="1" baseline="0">
              <a:solidFill>
                <a:srgbClr val="C00000"/>
              </a:solidFill>
            </a:rPr>
            <a:t>,</a:t>
          </a:r>
          <a:r>
            <a:rPr lang="en-US" sz="1200" b="1" baseline="0">
              <a:solidFill>
                <a:srgbClr val="C00000"/>
              </a:solidFill>
            </a:rPr>
            <a:t>3</a:t>
          </a:r>
          <a:r>
            <a:rPr lang="el-GR" sz="1200" b="1" baseline="0">
              <a:solidFill>
                <a:srgbClr val="C00000"/>
              </a:solidFill>
            </a:rPr>
            <a:t> εκ.</a:t>
          </a:r>
          <a:endParaRPr lang="en-US" sz="1200" b="1" baseline="0">
            <a:solidFill>
              <a:srgbClr val="C00000"/>
            </a:solidFill>
          </a:endParaRPr>
        </a:p>
        <a:p xmlns:a="http://schemas.openxmlformats.org/drawingml/2006/main">
          <a:pPr algn="ctr"/>
          <a:r>
            <a:rPr lang="en-US" sz="700" baseline="0">
              <a:solidFill>
                <a:srgbClr val="00183D"/>
              </a:solidFill>
            </a:rPr>
            <a:t>(2020:</a:t>
          </a:r>
          <a:r>
            <a:rPr lang="el-GR" sz="700" baseline="0">
              <a:solidFill>
                <a:srgbClr val="00183D"/>
              </a:solidFill>
            </a:rPr>
            <a:t> €</a:t>
          </a:r>
          <a:r>
            <a:rPr lang="en-US" sz="700" baseline="0">
              <a:solidFill>
                <a:srgbClr val="00183D"/>
              </a:solidFill>
            </a:rPr>
            <a:t>475</a:t>
          </a:r>
          <a:r>
            <a:rPr lang="el-GR" sz="700" baseline="0">
              <a:solidFill>
                <a:srgbClr val="00183D"/>
              </a:solidFill>
            </a:rPr>
            <a:t>,</a:t>
          </a:r>
          <a:r>
            <a:rPr lang="en-US" sz="700" baseline="0">
              <a:solidFill>
                <a:srgbClr val="00183D"/>
              </a:solidFill>
            </a:rPr>
            <a:t>5</a:t>
          </a:r>
          <a:r>
            <a:rPr lang="el-GR" sz="700" baseline="0">
              <a:solidFill>
                <a:srgbClr val="00183D"/>
              </a:solidFill>
            </a:rPr>
            <a:t>εκ.</a:t>
          </a:r>
          <a:r>
            <a:rPr lang="en-US" sz="700" baseline="0">
              <a:solidFill>
                <a:srgbClr val="00183D"/>
              </a:solidFill>
            </a:rPr>
            <a:t>)</a:t>
          </a:r>
          <a:endParaRPr lang="el-GR" sz="700" baseline="0">
            <a:solidFill>
              <a:srgbClr val="00183D"/>
            </a:solidFill>
          </a:endParaRPr>
        </a:p>
        <a:p xmlns:a="http://schemas.openxmlformats.org/drawingml/2006/main">
          <a:pPr algn="ctr"/>
          <a:r>
            <a:rPr lang="en-US" sz="700" baseline="0">
              <a:solidFill>
                <a:srgbClr val="00183D"/>
              </a:solidFill>
            </a:rPr>
            <a:t> </a:t>
          </a:r>
          <a:r>
            <a:rPr lang="el-GR" sz="1050" b="1">
              <a:solidFill>
                <a:srgbClr val="00183D"/>
              </a:solidFill>
            </a:rPr>
            <a:t>$</a:t>
          </a:r>
          <a:r>
            <a:rPr lang="el-GR" sz="1050" b="1" baseline="0">
              <a:solidFill>
                <a:srgbClr val="00183D"/>
              </a:solidFill>
            </a:rPr>
            <a:t> </a:t>
          </a:r>
          <a:r>
            <a:rPr lang="el-GR" sz="1050" b="1" baseline="0">
              <a:solidFill>
                <a:srgbClr val="C00000"/>
              </a:solidFill>
            </a:rPr>
            <a:t>577,5 εκ.</a:t>
          </a:r>
          <a:endParaRPr lang="en-US" sz="1050" b="1" baseline="0">
            <a:solidFill>
              <a:srgbClr val="C00000"/>
            </a:solidFill>
          </a:endParaRPr>
        </a:p>
        <a:p xmlns:a="http://schemas.openxmlformats.org/drawingml/2006/main">
          <a:pPr algn="ctr"/>
          <a:r>
            <a:rPr lang="en-US" sz="500" baseline="0">
              <a:solidFill>
                <a:srgbClr val="00183D"/>
              </a:solidFill>
            </a:rPr>
            <a:t>(2020:</a:t>
          </a:r>
          <a:r>
            <a:rPr lang="el-GR" sz="500" baseline="0">
              <a:solidFill>
                <a:srgbClr val="00183D"/>
              </a:solidFill>
            </a:rPr>
            <a:t> $524 εκ.)</a:t>
          </a:r>
          <a:endParaRPr lang="en-US" sz="500">
            <a:solidFill>
              <a:srgbClr val="00183D"/>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0.16757</cdr:x>
      <cdr:y>0.12712</cdr:y>
    </cdr:from>
    <cdr:to>
      <cdr:x>0.87318</cdr:x>
      <cdr:y>0.95426</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81552" y="159989"/>
          <a:ext cx="1185581" cy="1041014"/>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81</a:t>
          </a:r>
          <a:r>
            <a:rPr lang="el-GR" sz="1200" b="1" baseline="0">
              <a:solidFill>
                <a:srgbClr val="C00000"/>
              </a:solidFill>
            </a:rPr>
            <a:t>,</a:t>
          </a:r>
          <a:r>
            <a:rPr lang="en-US" sz="1200" b="1" baseline="0">
              <a:solidFill>
                <a:srgbClr val="C00000"/>
              </a:solidFill>
            </a:rPr>
            <a:t>2</a:t>
          </a:r>
          <a:r>
            <a:rPr lang="el-GR" sz="1200" b="1" baseline="0">
              <a:solidFill>
                <a:srgbClr val="C00000"/>
              </a:solidFill>
            </a:rPr>
            <a:t> εκ.</a:t>
          </a:r>
          <a:endParaRPr lang="en-US" sz="1200" b="1" baseline="0">
            <a:solidFill>
              <a:srgbClr val="C00000"/>
            </a:solidFill>
          </a:endParaRP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87,1m)</a:t>
          </a:r>
          <a:endParaRPr lang="el-GR" sz="700" baseline="0">
            <a:solidFill>
              <a:srgbClr val="00183D"/>
            </a:solidFill>
          </a:endParaRPr>
        </a:p>
        <a:p xmlns:a="http://schemas.openxmlformats.org/drawingml/2006/main">
          <a:pPr algn="ctr"/>
          <a:r>
            <a:rPr lang="el-GR" sz="1100" b="1">
              <a:solidFill>
                <a:srgbClr val="00183D"/>
              </a:solidFill>
            </a:rPr>
            <a:t>$</a:t>
          </a:r>
          <a:r>
            <a:rPr lang="el-GR" sz="1100" b="1" baseline="0">
              <a:solidFill>
                <a:srgbClr val="00183D"/>
              </a:solidFill>
            </a:rPr>
            <a:t> </a:t>
          </a:r>
          <a:r>
            <a:rPr lang="en-US" sz="1100" b="1" baseline="0">
              <a:solidFill>
                <a:srgbClr val="C00000"/>
              </a:solidFill>
            </a:rPr>
            <a:t>97</a:t>
          </a:r>
          <a:r>
            <a:rPr lang="el-GR" sz="1100" b="1" baseline="0">
              <a:solidFill>
                <a:srgbClr val="C00000"/>
              </a:solidFill>
            </a:rPr>
            <a:t>,8 εκ.</a:t>
          </a:r>
          <a:endParaRPr lang="en-US" sz="1100" b="1" baseline="0">
            <a:solidFill>
              <a:srgbClr val="C00000"/>
            </a:solidFill>
          </a:endParaRPr>
        </a:p>
        <a:p xmlns:a="http://schemas.openxmlformats.org/drawingml/2006/main">
          <a:pPr algn="ctr"/>
          <a:r>
            <a:rPr lang="en-US" sz="600" baseline="0">
              <a:solidFill>
                <a:srgbClr val="00183D"/>
              </a:solidFill>
            </a:rPr>
            <a:t>(2020:</a:t>
          </a:r>
          <a:r>
            <a:rPr lang="el-GR" sz="600" baseline="0">
              <a:solidFill>
                <a:srgbClr val="00183D"/>
              </a:solidFill>
            </a:rPr>
            <a:t> $</a:t>
          </a:r>
          <a:r>
            <a:rPr lang="en-US" sz="600" baseline="0">
              <a:solidFill>
                <a:srgbClr val="00183D"/>
              </a:solidFill>
            </a:rPr>
            <a:t>96</a:t>
          </a:r>
          <a:r>
            <a:rPr lang="el-GR" sz="600" baseline="0">
              <a:solidFill>
                <a:srgbClr val="00183D"/>
              </a:solidFill>
            </a:rPr>
            <a:t>,</a:t>
          </a:r>
          <a:r>
            <a:rPr lang="en-US" sz="600" baseline="0">
              <a:solidFill>
                <a:srgbClr val="00183D"/>
              </a:solidFill>
            </a:rPr>
            <a:t>0</a:t>
          </a:r>
          <a:r>
            <a:rPr lang="el-GR" sz="600" baseline="0">
              <a:solidFill>
                <a:srgbClr val="00183D"/>
              </a:solidFill>
            </a:rPr>
            <a:t> εκ.)</a:t>
          </a:r>
          <a:endParaRPr lang="en-US" sz="600">
            <a:solidFill>
              <a:srgbClr val="00183D"/>
            </a:solidFill>
          </a:endParaRPr>
        </a:p>
        <a:p xmlns:a="http://schemas.openxmlformats.org/drawingml/2006/main">
          <a:pPr algn="ctr"/>
          <a:r>
            <a:rPr lang="en-US" sz="700" baseline="0">
              <a:solidFill>
                <a:srgbClr val="00183D"/>
              </a:solidFill>
            </a:rPr>
            <a:t> </a:t>
          </a:r>
          <a:endParaRPr lang="en-US" sz="700">
            <a:solidFill>
              <a:srgbClr val="00183D"/>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0.16484</cdr:x>
      <cdr:y>0.12029</cdr:y>
    </cdr:from>
    <cdr:to>
      <cdr:x>0.89794</cdr:x>
      <cdr:y>0.86824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69742" y="157120"/>
          <a:ext cx="1199639" cy="976971"/>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133</a:t>
          </a:r>
          <a:r>
            <a:rPr lang="el-GR" sz="1200" b="1" baseline="0">
              <a:solidFill>
                <a:srgbClr val="C00000"/>
              </a:solidFill>
            </a:rPr>
            <a:t>,</a:t>
          </a:r>
          <a:r>
            <a:rPr lang="en-US" sz="1200" b="1" baseline="0">
              <a:solidFill>
                <a:srgbClr val="C00000"/>
              </a:solidFill>
            </a:rPr>
            <a:t>5</a:t>
          </a:r>
          <a:r>
            <a:rPr lang="el-GR" sz="1200" b="1" baseline="0">
              <a:solidFill>
                <a:srgbClr val="C00000"/>
              </a:solidFill>
            </a:rPr>
            <a:t>εκ.</a:t>
          </a: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113</a:t>
          </a:r>
          <a:r>
            <a:rPr lang="el-GR" sz="700" baseline="0">
              <a:solidFill>
                <a:srgbClr val="00183D"/>
              </a:solidFill>
            </a:rPr>
            <a:t>,</a:t>
          </a:r>
          <a:r>
            <a:rPr lang="en-US" sz="700" baseline="0">
              <a:solidFill>
                <a:srgbClr val="00183D"/>
              </a:solidFill>
            </a:rPr>
            <a:t>7</a:t>
          </a:r>
          <a:r>
            <a:rPr lang="el-GR" sz="700" baseline="0">
              <a:solidFill>
                <a:srgbClr val="00183D"/>
              </a:solidFill>
            </a:rPr>
            <a:t>εκ.</a:t>
          </a:r>
          <a:r>
            <a:rPr lang="en-US" sz="700" baseline="0">
              <a:solidFill>
                <a:srgbClr val="00183D"/>
              </a:solidFill>
            </a:rPr>
            <a:t>) </a:t>
          </a:r>
          <a:endParaRPr lang="en-US" sz="700">
            <a:solidFill>
              <a:srgbClr val="00183D"/>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0.17582</cdr:x>
      <cdr:y>0.14881</cdr:y>
    </cdr:from>
    <cdr:to>
      <cdr:x>0.82967</cdr:x>
      <cdr:y>0.85714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304799" y="238125"/>
          <a:ext cx="1133475" cy="1133470"/>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17</a:t>
          </a:r>
          <a:r>
            <a:rPr lang="el-GR" sz="1200" b="1" baseline="0">
              <a:solidFill>
                <a:srgbClr val="C00000"/>
              </a:solidFill>
            </a:rPr>
            <a:t>,0 εκ.</a:t>
          </a:r>
          <a:endParaRPr lang="en-US" sz="1200" b="1" baseline="0">
            <a:solidFill>
              <a:srgbClr val="C00000"/>
            </a:solidFill>
          </a:endParaRP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8</a:t>
          </a:r>
          <a:r>
            <a:rPr lang="el-GR" sz="700" baseline="0">
              <a:solidFill>
                <a:srgbClr val="00183D"/>
              </a:solidFill>
            </a:rPr>
            <a:t>,</a:t>
          </a:r>
          <a:r>
            <a:rPr lang="en-US" sz="700" baseline="0">
              <a:solidFill>
                <a:srgbClr val="00183D"/>
              </a:solidFill>
            </a:rPr>
            <a:t>2</a:t>
          </a:r>
          <a:r>
            <a:rPr lang="el-GR" sz="700" baseline="0">
              <a:solidFill>
                <a:srgbClr val="00183D"/>
              </a:solidFill>
            </a:rPr>
            <a:t>εκ.</a:t>
          </a:r>
          <a:r>
            <a:rPr lang="en-US" sz="700" baseline="0">
              <a:solidFill>
                <a:srgbClr val="00183D"/>
              </a:solidFill>
            </a:rPr>
            <a:t>) </a:t>
          </a:r>
          <a:endParaRPr lang="en-US" sz="700">
            <a:solidFill>
              <a:srgbClr val="00183D"/>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0.10429</cdr:x>
      <cdr:y>0.11783</cdr:y>
    </cdr:from>
    <cdr:to>
      <cdr:x>0.89564</cdr:x>
      <cdr:y>0.90273</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50126" y="148741"/>
          <a:ext cx="1139188" cy="990848"/>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132,3m</a:t>
          </a: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115,9m) </a:t>
          </a:r>
          <a:endParaRPr lang="en-US" sz="700">
            <a:solidFill>
              <a:srgbClr val="00183D"/>
            </a:solidFill>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0.09327</cdr:x>
      <cdr:y>0.07742</cdr:y>
    </cdr:from>
    <cdr:to>
      <cdr:x>0.9373</cdr:x>
      <cdr:y>0.89927</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22830" y="93992"/>
          <a:ext cx="1111590" cy="997827"/>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42,0m</a:t>
          </a: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39,1m) </a:t>
          </a:r>
          <a:endParaRPr lang="en-US" sz="700">
            <a:solidFill>
              <a:srgbClr val="00183D"/>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0.13914</cdr:x>
      <cdr:y>0.1334</cdr:y>
    </cdr:from>
    <cdr:to>
      <cdr:x>0.88339</cdr:x>
      <cdr:y>0.85364</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211078" y="163831"/>
          <a:ext cx="1129038" cy="884519"/>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75</a:t>
          </a:r>
          <a:r>
            <a:rPr lang="el-GR" sz="1200" b="1" baseline="0">
              <a:solidFill>
                <a:srgbClr val="C00000"/>
              </a:solidFill>
            </a:rPr>
            <a:t>,9 εκ.</a:t>
          </a:r>
          <a:endParaRPr lang="en-US" sz="1200" b="1" baseline="0">
            <a:solidFill>
              <a:srgbClr val="C00000"/>
            </a:solidFill>
          </a:endParaRP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81</a:t>
          </a:r>
          <a:r>
            <a:rPr lang="el-GR" sz="700" baseline="0">
              <a:solidFill>
                <a:srgbClr val="00183D"/>
              </a:solidFill>
            </a:rPr>
            <a:t>,</a:t>
          </a:r>
          <a:r>
            <a:rPr lang="en-US" sz="700" baseline="0">
              <a:solidFill>
                <a:srgbClr val="00183D"/>
              </a:solidFill>
            </a:rPr>
            <a:t>1</a:t>
          </a:r>
          <a:r>
            <a:rPr lang="el-GR" sz="700" baseline="0">
              <a:solidFill>
                <a:srgbClr val="00183D"/>
              </a:solidFill>
            </a:rPr>
            <a:t>εκ.</a:t>
          </a:r>
          <a:r>
            <a:rPr lang="en-US" sz="700" baseline="0">
              <a:solidFill>
                <a:srgbClr val="00183D"/>
              </a:solidFill>
            </a:rPr>
            <a:t>) </a:t>
          </a:r>
          <a:endParaRPr lang="en-US" sz="700">
            <a:solidFill>
              <a:srgbClr val="00183D"/>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0.07506</cdr:x>
      <cdr:y>0.09641</cdr:y>
    </cdr:from>
    <cdr:to>
      <cdr:x>0.91813</cdr:x>
      <cdr:y>0.90395</cdr:y>
    </cdr:to>
    <cdr:sp macro="" textlink="">
      <cdr:nvSpPr>
        <cdr:cNvPr id="2" name="Oval 1">
          <a:extLst xmlns:a="http://schemas.openxmlformats.org/drawingml/2006/main">
            <a:ext uri="{FF2B5EF4-FFF2-40B4-BE49-F238E27FC236}">
              <a16:creationId xmlns:a16="http://schemas.microsoft.com/office/drawing/2014/main" id="{93B23A41-28A6-4F6D-AA3A-91076E1B1977}"/>
            </a:ext>
          </a:extLst>
        </cdr:cNvPr>
        <cdr:cNvSpPr/>
      </cdr:nvSpPr>
      <cdr:spPr>
        <a:xfrm xmlns:a="http://schemas.openxmlformats.org/drawingml/2006/main">
          <a:off x="120208" y="120235"/>
          <a:ext cx="1350151" cy="1007114"/>
        </a:xfrm>
        <a:prstGeom xmlns:a="http://schemas.openxmlformats.org/drawingml/2006/main" prst="ellipse">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l-GR" sz="1200" b="1">
              <a:solidFill>
                <a:srgbClr val="00183D"/>
              </a:solidFill>
            </a:rPr>
            <a:t>€</a:t>
          </a:r>
          <a:r>
            <a:rPr lang="el-GR" sz="1200" b="1" baseline="0">
              <a:solidFill>
                <a:srgbClr val="00183D"/>
              </a:solidFill>
            </a:rPr>
            <a:t> </a:t>
          </a:r>
          <a:r>
            <a:rPr lang="en-US" sz="1200" b="1" baseline="0">
              <a:solidFill>
                <a:srgbClr val="C00000"/>
              </a:solidFill>
            </a:rPr>
            <a:t>2</a:t>
          </a:r>
          <a:r>
            <a:rPr lang="el-GR" sz="1200" b="1" baseline="0">
              <a:solidFill>
                <a:srgbClr val="C00000"/>
              </a:solidFill>
            </a:rPr>
            <a:t>,</a:t>
          </a:r>
          <a:r>
            <a:rPr lang="en-US" sz="1200" b="1" baseline="0">
              <a:solidFill>
                <a:srgbClr val="C00000"/>
              </a:solidFill>
            </a:rPr>
            <a:t>4</a:t>
          </a:r>
          <a:r>
            <a:rPr lang="el-GR" sz="1200" b="1" baseline="0">
              <a:solidFill>
                <a:srgbClr val="C00000"/>
              </a:solidFill>
            </a:rPr>
            <a:t>εκ.</a:t>
          </a:r>
          <a:endParaRPr lang="en-US" sz="1200" b="1" baseline="0">
            <a:solidFill>
              <a:srgbClr val="C00000"/>
            </a:solidFill>
          </a:endParaRPr>
        </a:p>
        <a:p xmlns:a="http://schemas.openxmlformats.org/drawingml/2006/main">
          <a:pPr algn="ctr"/>
          <a:r>
            <a:rPr lang="en-US" sz="700" baseline="0">
              <a:solidFill>
                <a:srgbClr val="00183D"/>
              </a:solidFill>
            </a:rPr>
            <a:t>(2020: </a:t>
          </a:r>
          <a:r>
            <a:rPr lang="el-GR" sz="700" baseline="0">
              <a:solidFill>
                <a:srgbClr val="00183D"/>
              </a:solidFill>
            </a:rPr>
            <a:t>€</a:t>
          </a:r>
          <a:r>
            <a:rPr lang="en-US" sz="700" baseline="0">
              <a:solidFill>
                <a:srgbClr val="00183D"/>
              </a:solidFill>
            </a:rPr>
            <a:t>2</a:t>
          </a:r>
          <a:r>
            <a:rPr lang="el-GR" sz="700" baseline="0">
              <a:solidFill>
                <a:srgbClr val="00183D"/>
              </a:solidFill>
            </a:rPr>
            <a:t>,</a:t>
          </a:r>
          <a:r>
            <a:rPr lang="en-US" sz="700" baseline="0">
              <a:solidFill>
                <a:srgbClr val="00183D"/>
              </a:solidFill>
            </a:rPr>
            <a:t>3</a:t>
          </a:r>
          <a:r>
            <a:rPr lang="el-GR" sz="700" baseline="0">
              <a:solidFill>
                <a:srgbClr val="00183D"/>
              </a:solidFill>
            </a:rPr>
            <a:t>εκ.</a:t>
          </a:r>
          <a:r>
            <a:rPr lang="en-US" sz="700" baseline="0">
              <a:solidFill>
                <a:srgbClr val="00183D"/>
              </a:solidFill>
            </a:rPr>
            <a:t>) </a:t>
          </a:r>
          <a:endParaRPr lang="en-US" sz="700">
            <a:solidFill>
              <a:srgbClr val="00183D"/>
            </a:solidFill>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F3A2DC8A6F640817D127289A58AD6" ma:contentTypeVersion="6" ma:contentTypeDescription="Create a new document." ma:contentTypeScope="" ma:versionID="2ccbe8f7a87bc33252a91f1b24f73eb4">
  <xsd:schema xmlns:xsd="http://www.w3.org/2001/XMLSchema" xmlns:xs="http://www.w3.org/2001/XMLSchema" xmlns:p="http://schemas.microsoft.com/office/2006/metadata/properties" xmlns:ns2="99524a05-02cc-401f-9794-89c4150732d8" xmlns:ns3="a0242f92-e5ab-4656-9a7b-32378aa2f17a" targetNamespace="http://schemas.microsoft.com/office/2006/metadata/properties" ma:root="true" ma:fieldsID="c264d66e9ba86fa0b9367e00f0dd46b3" ns2:_="" ns3:_="">
    <xsd:import namespace="99524a05-02cc-401f-9794-89c4150732d8"/>
    <xsd:import namespace="a0242f92-e5ab-4656-9a7b-32378aa2f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24a05-02cc-401f-9794-89c415073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42f92-e5ab-4656-9a7b-32378aa2f1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242f92-e5ab-4656-9a7b-32378aa2f17a">
      <UserInfo>
        <DisplayName>Gravanis Socrates</DisplayName>
        <AccountId>759</AccountId>
        <AccountType/>
      </UserInfo>
      <UserInfo>
        <DisplayName>Chatzigeorgiou Maria</DisplayName>
        <AccountId>3895</AccountId>
        <AccountType/>
      </UserInfo>
      <UserInfo>
        <DisplayName>Pottaki Katerina</DisplayName>
        <AccountId>1632</AccountId>
        <AccountType/>
      </UserInfo>
      <UserInfo>
        <DisplayName>Alexi Eirini</DisplayName>
        <AccountId>746</AccountId>
        <AccountType/>
      </UserInfo>
      <UserInfo>
        <DisplayName>Simou Maria</DisplayName>
        <AccountId>1602</AccountId>
        <AccountType/>
      </UserInfo>
      <UserInfo>
        <DisplayName>Fintikaki Marilena</DisplayName>
        <AccountId>2708</AccountId>
        <AccountType/>
      </UserInfo>
      <UserInfo>
        <DisplayName>Sylla Afroditi</DisplayName>
        <AccountId>722</AccountId>
        <AccountType/>
      </UserInfo>
      <UserInfo>
        <DisplayName>Papapanou Eleni</DisplayName>
        <AccountId>843</AccountId>
        <AccountType/>
      </UserInfo>
      <UserInfo>
        <DisplayName>Yiannakopoulou Lydia</DisplayName>
        <AccountId>2093</AccountId>
        <AccountType/>
      </UserInfo>
      <UserInfo>
        <DisplayName>Papalexopoulos Dimitris</DisplayName>
        <AccountId>1596</AccountId>
        <AccountType/>
      </UserInfo>
      <UserInfo>
        <DisplayName>Colakides Michael</DisplayName>
        <AccountId>948</AccountId>
        <AccountType/>
      </UserInfo>
      <UserInfo>
        <DisplayName>Canellopoulos Takis</DisplayName>
        <AccountId>917</AccountId>
        <AccountType/>
      </UserInfo>
      <UserInfo>
        <DisplayName>Paniaras Yanni</DisplayName>
        <AccountId>325</AccountId>
        <AccountType/>
      </UserInfo>
      <UserInfo>
        <DisplayName>Pappas Romanos</DisplayName>
        <AccountId>5161</AccountId>
        <AccountType/>
      </UserInfo>
      <UserInfo>
        <DisplayName>Georgali Stella</DisplayName>
        <AccountId>194</AccountId>
        <AccountType/>
      </UserInfo>
    </SharedWithUsers>
  </documentManagement>
</p:properties>
</file>

<file path=customXml/itemProps1.xml><?xml version="1.0" encoding="utf-8"?>
<ds:datastoreItem xmlns:ds="http://schemas.openxmlformats.org/officeDocument/2006/customXml" ds:itemID="{8F8464E5-9FC9-47FD-A6ED-903F429AAA50}">
  <ds:schemaRefs>
    <ds:schemaRef ds:uri="http://schemas.microsoft.com/sharepoint/v3/contenttype/forms"/>
  </ds:schemaRefs>
</ds:datastoreItem>
</file>

<file path=customXml/itemProps2.xml><?xml version="1.0" encoding="utf-8"?>
<ds:datastoreItem xmlns:ds="http://schemas.openxmlformats.org/officeDocument/2006/customXml" ds:itemID="{148549DC-4A47-47BD-AD23-5F9F9A43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24a05-02cc-401f-9794-89c4150732d8"/>
    <ds:schemaRef ds:uri="a0242f92-e5ab-4656-9a7b-32378aa2f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7A88A-6BE4-4B9C-9463-30EBA0DB5D6A}">
  <ds:schemaRefs>
    <ds:schemaRef ds:uri="http://schemas.openxmlformats.org/officeDocument/2006/bibliography"/>
  </ds:schemaRefs>
</ds:datastoreItem>
</file>

<file path=customXml/itemProps4.xml><?xml version="1.0" encoding="utf-8"?>
<ds:datastoreItem xmlns:ds="http://schemas.openxmlformats.org/officeDocument/2006/customXml" ds:itemID="{BD673796-05D7-45D7-91C2-784253700D92}">
  <ds:schemaRefs>
    <ds:schemaRef ds:uri="http://schemas.microsoft.com/office/2006/metadata/properties"/>
    <ds:schemaRef ds:uri="http://schemas.microsoft.com/office/infopath/2007/PartnerControls"/>
    <ds:schemaRef ds:uri="a0242f92-e5ab-4656-9a7b-32378aa2f1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Pappas Romanos</dc:creator>
  <cp:keywords/>
  <dc:description/>
  <cp:lastModifiedBy>stockwatch2</cp:lastModifiedBy>
  <cp:revision>2</cp:revision>
  <cp:lastPrinted>2021-07-29T07:02:00Z</cp:lastPrinted>
  <dcterms:created xsi:type="dcterms:W3CDTF">2021-07-29T09:04:00Z</dcterms:created>
  <dcterms:modified xsi:type="dcterms:W3CDTF">2021-07-29T09:04:00Z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0x010100C9EF3A2DC8A6F640817D127289A58AD6</vt:lpwstr>
  </property>
</Properties>
</file>